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F7F" w:rsidRPr="00166F98" w:rsidRDefault="006426E2" w:rsidP="00576E8E">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SR 400/</w:t>
      </w:r>
      <w:r w:rsidR="00E3080C" w:rsidRPr="00166F98">
        <w:rPr>
          <w:rFonts w:ascii="Times New Roman" w:hAnsi="Times New Roman" w:cs="Times New Roman"/>
          <w:b/>
          <w:sz w:val="32"/>
          <w:szCs w:val="32"/>
        </w:rPr>
        <w:t xml:space="preserve">McGinnis Ferry </w:t>
      </w:r>
      <w:r w:rsidR="00062F2F">
        <w:rPr>
          <w:rFonts w:ascii="Times New Roman" w:hAnsi="Times New Roman" w:cs="Times New Roman"/>
          <w:b/>
          <w:sz w:val="32"/>
          <w:szCs w:val="32"/>
        </w:rPr>
        <w:t xml:space="preserve">Road </w:t>
      </w:r>
      <w:r w:rsidR="00E3080C" w:rsidRPr="00166F98">
        <w:rPr>
          <w:rFonts w:ascii="Times New Roman" w:hAnsi="Times New Roman" w:cs="Times New Roman"/>
          <w:b/>
          <w:sz w:val="32"/>
          <w:szCs w:val="32"/>
        </w:rPr>
        <w:t>Interchange</w:t>
      </w:r>
    </w:p>
    <w:p w:rsidR="00576E8E" w:rsidRDefault="00844D2A" w:rsidP="00576E8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Status Update</w:t>
      </w:r>
      <w:r w:rsidR="00170E87">
        <w:rPr>
          <w:rFonts w:ascii="Times New Roman" w:hAnsi="Times New Roman" w:cs="Times New Roman"/>
          <w:b/>
          <w:sz w:val="32"/>
          <w:szCs w:val="32"/>
        </w:rPr>
        <w:t xml:space="preserve"> – May 2016</w:t>
      </w:r>
    </w:p>
    <w:p w:rsidR="00C37AD3" w:rsidRPr="00C37AD3" w:rsidRDefault="00C37AD3" w:rsidP="00C37AD3">
      <w:pPr>
        <w:spacing w:after="0" w:line="240" w:lineRule="auto"/>
        <w:jc w:val="center"/>
        <w:rPr>
          <w:rFonts w:ascii="Times New Roman" w:hAnsi="Times New Roman" w:cs="Times New Roman"/>
          <w:b/>
          <w:sz w:val="28"/>
          <w:szCs w:val="28"/>
        </w:rPr>
      </w:pPr>
      <w:r w:rsidRPr="00C37AD3">
        <w:rPr>
          <w:rFonts w:ascii="Times New Roman" w:hAnsi="Times New Roman" w:cs="Times New Roman"/>
          <w:b/>
          <w:sz w:val="28"/>
          <w:szCs w:val="28"/>
        </w:rPr>
        <w:t>GDOT PI # 0007526</w:t>
      </w:r>
    </w:p>
    <w:p w:rsidR="00C37AD3" w:rsidRDefault="00C37AD3" w:rsidP="00576E8E">
      <w:pPr>
        <w:spacing w:after="0" w:line="240" w:lineRule="auto"/>
        <w:jc w:val="center"/>
        <w:rPr>
          <w:rFonts w:ascii="Times New Roman" w:hAnsi="Times New Roman" w:cs="Times New Roman"/>
          <w:b/>
          <w:sz w:val="32"/>
          <w:szCs w:val="32"/>
        </w:rPr>
      </w:pPr>
    </w:p>
    <w:p w:rsidR="00576E8E" w:rsidRPr="00166F98" w:rsidRDefault="00576E8E" w:rsidP="00435DD8">
      <w:pPr>
        <w:spacing w:after="0" w:line="240" w:lineRule="auto"/>
        <w:rPr>
          <w:rFonts w:ascii="Times New Roman" w:hAnsi="Times New Roman" w:cs="Times New Roman"/>
          <w:b/>
          <w:sz w:val="2"/>
          <w:szCs w:val="32"/>
        </w:rPr>
      </w:pPr>
    </w:p>
    <w:p w:rsidR="00192C61" w:rsidRPr="00C37AD3" w:rsidRDefault="00192C61" w:rsidP="00D71362">
      <w:pPr>
        <w:spacing w:line="240" w:lineRule="auto"/>
        <w:jc w:val="center"/>
        <w:rPr>
          <w:rFonts w:ascii="Times New Roman" w:hAnsi="Times New Roman" w:cs="Times New Roman"/>
          <w:b/>
          <w:u w:val="single"/>
        </w:rPr>
      </w:pPr>
      <w:r w:rsidRPr="00C37AD3">
        <w:rPr>
          <w:rFonts w:ascii="Times New Roman" w:hAnsi="Times New Roman" w:cs="Times New Roman"/>
          <w:b/>
          <w:u w:val="single"/>
        </w:rPr>
        <w:t>Project Description</w:t>
      </w:r>
    </w:p>
    <w:p w:rsidR="00E3080C" w:rsidRPr="00166F98" w:rsidRDefault="00E3080C" w:rsidP="000F31C6">
      <w:pPr>
        <w:spacing w:line="240" w:lineRule="auto"/>
        <w:jc w:val="both"/>
        <w:rPr>
          <w:rFonts w:ascii="Times New Roman" w:hAnsi="Times New Roman" w:cs="Times New Roman"/>
        </w:rPr>
      </w:pPr>
      <w:r w:rsidRPr="00166F98">
        <w:rPr>
          <w:rFonts w:ascii="Times New Roman" w:hAnsi="Times New Roman" w:cs="Times New Roman"/>
        </w:rPr>
        <w:t xml:space="preserve">The project proposes to add a full access </w:t>
      </w:r>
      <w:r w:rsidR="00170E87">
        <w:rPr>
          <w:rFonts w:ascii="Times New Roman" w:hAnsi="Times New Roman" w:cs="Times New Roman"/>
        </w:rPr>
        <w:t xml:space="preserve">diamond </w:t>
      </w:r>
      <w:r w:rsidRPr="00166F98">
        <w:rPr>
          <w:rFonts w:ascii="Times New Roman" w:hAnsi="Times New Roman" w:cs="Times New Roman"/>
        </w:rPr>
        <w:t xml:space="preserve">interchange at McGinnis Ferry Road which currently overpasses </w:t>
      </w:r>
      <w:r w:rsidR="007D475F" w:rsidRPr="00166F98">
        <w:rPr>
          <w:rFonts w:ascii="Times New Roman" w:hAnsi="Times New Roman" w:cs="Times New Roman"/>
        </w:rPr>
        <w:t>SR 400</w:t>
      </w:r>
      <w:r w:rsidRPr="00166F98">
        <w:rPr>
          <w:rFonts w:ascii="Times New Roman" w:hAnsi="Times New Roman" w:cs="Times New Roman"/>
        </w:rPr>
        <w:t xml:space="preserve"> with no access to the freeway.  Because McGinnis Ferry Road follows the County line at this point, the south half of the project is in Fulton County, and the north half is in Forsyth County.  </w:t>
      </w:r>
      <w:r w:rsidR="001862EC" w:rsidRPr="00166F98">
        <w:rPr>
          <w:rFonts w:ascii="Times New Roman" w:hAnsi="Times New Roman" w:cs="Times New Roman"/>
        </w:rPr>
        <w:t xml:space="preserve">The </w:t>
      </w:r>
      <w:r w:rsidRPr="00166F98">
        <w:rPr>
          <w:rFonts w:ascii="Times New Roman" w:hAnsi="Times New Roman" w:cs="Times New Roman"/>
        </w:rPr>
        <w:t>two-lane McGinnis Ferry Road bridge over SR 400 would be demolished and replaced with a wider structure</w:t>
      </w:r>
      <w:r w:rsidR="0073162B" w:rsidRPr="00166F98">
        <w:rPr>
          <w:rFonts w:ascii="Times New Roman" w:hAnsi="Times New Roman" w:cs="Times New Roman"/>
        </w:rPr>
        <w:t xml:space="preserve"> </w:t>
      </w:r>
      <w:r w:rsidR="00C258C5">
        <w:rPr>
          <w:rFonts w:ascii="Times New Roman" w:hAnsi="Times New Roman" w:cs="Times New Roman"/>
        </w:rPr>
        <w:t xml:space="preserve">allowing for </w:t>
      </w:r>
      <w:r w:rsidR="0073162B" w:rsidRPr="00166F98">
        <w:rPr>
          <w:rFonts w:ascii="Times New Roman" w:hAnsi="Times New Roman" w:cs="Times New Roman"/>
        </w:rPr>
        <w:t xml:space="preserve">turn lanes </w:t>
      </w:r>
      <w:r w:rsidR="00C258C5">
        <w:rPr>
          <w:rFonts w:ascii="Times New Roman" w:hAnsi="Times New Roman" w:cs="Times New Roman"/>
        </w:rPr>
        <w:t>to</w:t>
      </w:r>
      <w:r w:rsidR="0073162B" w:rsidRPr="00166F98">
        <w:rPr>
          <w:rFonts w:ascii="Times New Roman" w:hAnsi="Times New Roman" w:cs="Times New Roman"/>
        </w:rPr>
        <w:t xml:space="preserve"> ramps</w:t>
      </w:r>
      <w:r w:rsidRPr="00166F98">
        <w:rPr>
          <w:rFonts w:ascii="Times New Roman" w:hAnsi="Times New Roman" w:cs="Times New Roman"/>
        </w:rPr>
        <w:t xml:space="preserve"> </w:t>
      </w:r>
      <w:r w:rsidR="00C258C5">
        <w:rPr>
          <w:rFonts w:ascii="Times New Roman" w:hAnsi="Times New Roman" w:cs="Times New Roman"/>
        </w:rPr>
        <w:t>for</w:t>
      </w:r>
      <w:r w:rsidR="00C258C5" w:rsidRPr="00166F98">
        <w:rPr>
          <w:rFonts w:ascii="Times New Roman" w:hAnsi="Times New Roman" w:cs="Times New Roman"/>
        </w:rPr>
        <w:t xml:space="preserve"> </w:t>
      </w:r>
      <w:r w:rsidR="0073162B" w:rsidRPr="00166F98">
        <w:rPr>
          <w:rFonts w:ascii="Times New Roman" w:hAnsi="Times New Roman" w:cs="Times New Roman"/>
        </w:rPr>
        <w:t>SR 400</w:t>
      </w:r>
      <w:r w:rsidR="00C258C5">
        <w:rPr>
          <w:rFonts w:ascii="Times New Roman" w:hAnsi="Times New Roman" w:cs="Times New Roman"/>
        </w:rPr>
        <w:t xml:space="preserve"> and</w:t>
      </w:r>
      <w:r w:rsidR="0073162B" w:rsidRPr="00166F98">
        <w:rPr>
          <w:rFonts w:ascii="Times New Roman" w:hAnsi="Times New Roman" w:cs="Times New Roman"/>
        </w:rPr>
        <w:t xml:space="preserve"> a multi-use path for</w:t>
      </w:r>
      <w:r w:rsidRPr="00166F98">
        <w:rPr>
          <w:rFonts w:ascii="Times New Roman" w:hAnsi="Times New Roman" w:cs="Times New Roman"/>
        </w:rPr>
        <w:t xml:space="preserve"> pedestrians and cyclists.  </w:t>
      </w:r>
      <w:r w:rsidR="00170E87">
        <w:rPr>
          <w:rFonts w:ascii="Times New Roman" w:hAnsi="Times New Roman" w:cs="Times New Roman"/>
        </w:rPr>
        <w:t xml:space="preserve">The proposed bridge would be designed to span the future managed lanes on SR 400.  </w:t>
      </w:r>
      <w:r w:rsidR="00576E8E" w:rsidRPr="00166F98">
        <w:rPr>
          <w:rFonts w:ascii="Times New Roman" w:hAnsi="Times New Roman" w:cs="Times New Roman"/>
        </w:rPr>
        <w:t>In addition, McGinnis Ferry Road will be widene</w:t>
      </w:r>
      <w:r w:rsidR="001862EC" w:rsidRPr="00166F98">
        <w:rPr>
          <w:rFonts w:ascii="Times New Roman" w:hAnsi="Times New Roman" w:cs="Times New Roman"/>
        </w:rPr>
        <w:t>d to four lanes</w:t>
      </w:r>
      <w:r w:rsidR="0073162B" w:rsidRPr="00166F98">
        <w:rPr>
          <w:rFonts w:ascii="Times New Roman" w:hAnsi="Times New Roman" w:cs="Times New Roman"/>
        </w:rPr>
        <w:t xml:space="preserve"> to the west of SR 400 and six lanes to the east of SR 400</w:t>
      </w:r>
      <w:r w:rsidR="00170E87">
        <w:rPr>
          <w:rFonts w:ascii="Times New Roman" w:hAnsi="Times New Roman" w:cs="Times New Roman"/>
        </w:rPr>
        <w:t xml:space="preserve"> with a typical that would include curb and gutter with 5 foot sidewalks and/or a multi-use path</w:t>
      </w:r>
      <w:r w:rsidR="0073162B" w:rsidRPr="00166F98">
        <w:rPr>
          <w:rFonts w:ascii="Times New Roman" w:hAnsi="Times New Roman" w:cs="Times New Roman"/>
        </w:rPr>
        <w:t xml:space="preserve">. This </w:t>
      </w:r>
      <w:r w:rsidR="007D475F" w:rsidRPr="00166F98">
        <w:rPr>
          <w:rFonts w:ascii="Times New Roman" w:hAnsi="Times New Roman" w:cs="Times New Roman"/>
        </w:rPr>
        <w:t>widening is</w:t>
      </w:r>
      <w:r w:rsidR="0073162B" w:rsidRPr="00166F98">
        <w:rPr>
          <w:rFonts w:ascii="Times New Roman" w:hAnsi="Times New Roman" w:cs="Times New Roman"/>
        </w:rPr>
        <w:t xml:space="preserve"> necessary to accommodate the traffic volumes that are expected to increase with the interchange access </w:t>
      </w:r>
      <w:r w:rsidR="00336984">
        <w:rPr>
          <w:rFonts w:ascii="Times New Roman" w:hAnsi="Times New Roman" w:cs="Times New Roman"/>
        </w:rPr>
        <w:t>and</w:t>
      </w:r>
      <w:r w:rsidR="0073162B" w:rsidRPr="00166F98">
        <w:rPr>
          <w:rFonts w:ascii="Times New Roman" w:hAnsi="Times New Roman" w:cs="Times New Roman"/>
        </w:rPr>
        <w:t xml:space="preserve"> planned development along the corridor.</w:t>
      </w:r>
      <w:r w:rsidR="001862EC" w:rsidRPr="00166F98">
        <w:rPr>
          <w:rFonts w:ascii="Times New Roman" w:hAnsi="Times New Roman" w:cs="Times New Roman"/>
        </w:rPr>
        <w:t xml:space="preserve"> </w:t>
      </w:r>
      <w:r w:rsidR="00336984">
        <w:rPr>
          <w:rFonts w:ascii="Times New Roman" w:hAnsi="Times New Roman" w:cs="Times New Roman"/>
        </w:rPr>
        <w:t>In addition, the project would include auxiliary lanes in both directions along SR 400 between Windward Parkway and McFarland Parkway interchanges.</w:t>
      </w:r>
    </w:p>
    <w:p w:rsidR="00803F7F" w:rsidRDefault="0069675C" w:rsidP="00D71362">
      <w:pPr>
        <w:jc w:val="center"/>
      </w:pPr>
      <w:r>
        <w:rPr>
          <w:noProof/>
        </w:rPr>
        <w:drawing>
          <wp:inline distT="0" distB="0" distL="0" distR="0">
            <wp:extent cx="6693958" cy="2409825"/>
            <wp:effectExtent l="0" t="0" r="0" b="0"/>
            <wp:docPr id="4" name="Picture 4" descr="S:\Kristin Rome Winzeler\Projects\McGinnis Ferry Interchange\concept layout-McGinnis-Nov2014-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ristin Rome Winzeler\Projects\McGinnis Ferry Interchange\concept layout-McGinnis-Nov2014-approv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0045" cy="2412016"/>
                    </a:xfrm>
                    <a:prstGeom prst="rect">
                      <a:avLst/>
                    </a:prstGeom>
                    <a:noFill/>
                    <a:ln>
                      <a:noFill/>
                    </a:ln>
                  </pic:spPr>
                </pic:pic>
              </a:graphicData>
            </a:graphic>
          </wp:inline>
        </w:drawing>
      </w:r>
    </w:p>
    <w:p w:rsidR="00A109CF" w:rsidRPr="00C37AD3" w:rsidRDefault="00FB7F3C" w:rsidP="00FB7F3C">
      <w:pPr>
        <w:jc w:val="center"/>
        <w:rPr>
          <w:rFonts w:ascii="Times New Roman" w:hAnsi="Times New Roman" w:cs="Times New Roman"/>
          <w:b/>
          <w:u w:val="single"/>
        </w:rPr>
      </w:pPr>
      <w:r w:rsidRPr="00C37AD3">
        <w:rPr>
          <w:rFonts w:ascii="Times New Roman" w:hAnsi="Times New Roman" w:cs="Times New Roman"/>
          <w:b/>
          <w:u w:val="single"/>
        </w:rPr>
        <w:t>Current Status</w:t>
      </w:r>
    </w:p>
    <w:p w:rsidR="000F31C6" w:rsidRPr="000F31C6" w:rsidRDefault="00576E8E" w:rsidP="000F31C6">
      <w:pPr>
        <w:spacing w:line="240" w:lineRule="auto"/>
        <w:jc w:val="both"/>
        <w:rPr>
          <w:rFonts w:ascii="Times New Roman" w:hAnsi="Times New Roman" w:cs="Times New Roman"/>
        </w:rPr>
      </w:pPr>
      <w:r w:rsidRPr="00166F98">
        <w:rPr>
          <w:rFonts w:ascii="Times New Roman" w:hAnsi="Times New Roman" w:cs="Times New Roman"/>
        </w:rPr>
        <w:t xml:space="preserve">A </w:t>
      </w:r>
      <w:r w:rsidR="00166F98">
        <w:rPr>
          <w:rFonts w:ascii="Times New Roman" w:hAnsi="Times New Roman" w:cs="Times New Roman"/>
        </w:rPr>
        <w:t>Project</w:t>
      </w:r>
      <w:r w:rsidR="00166F98" w:rsidRPr="00166F98">
        <w:rPr>
          <w:rFonts w:ascii="Times New Roman" w:hAnsi="Times New Roman" w:cs="Times New Roman"/>
        </w:rPr>
        <w:t xml:space="preserve"> </w:t>
      </w:r>
      <w:r w:rsidR="00166F98">
        <w:rPr>
          <w:rFonts w:ascii="Times New Roman" w:hAnsi="Times New Roman" w:cs="Times New Roman"/>
        </w:rPr>
        <w:t>F</w:t>
      </w:r>
      <w:r w:rsidR="00166F98" w:rsidRPr="00166F98">
        <w:rPr>
          <w:rFonts w:ascii="Times New Roman" w:hAnsi="Times New Roman" w:cs="Times New Roman"/>
        </w:rPr>
        <w:t xml:space="preserve">ramework </w:t>
      </w:r>
      <w:r w:rsidR="00166F98">
        <w:rPr>
          <w:rFonts w:ascii="Times New Roman" w:hAnsi="Times New Roman" w:cs="Times New Roman"/>
        </w:rPr>
        <w:t>A</w:t>
      </w:r>
      <w:r w:rsidR="00166F98" w:rsidRPr="00166F98">
        <w:rPr>
          <w:rFonts w:ascii="Times New Roman" w:hAnsi="Times New Roman" w:cs="Times New Roman"/>
        </w:rPr>
        <w:t xml:space="preserve">greement </w:t>
      </w:r>
      <w:r w:rsidR="00166F98">
        <w:rPr>
          <w:rFonts w:ascii="Times New Roman" w:hAnsi="Times New Roman" w:cs="Times New Roman"/>
        </w:rPr>
        <w:t xml:space="preserve">(PFA) </w:t>
      </w:r>
      <w:r w:rsidR="001862EC" w:rsidRPr="00166F98">
        <w:rPr>
          <w:rFonts w:ascii="Times New Roman" w:hAnsi="Times New Roman" w:cs="Times New Roman"/>
        </w:rPr>
        <w:t xml:space="preserve">between the Georgia Department of </w:t>
      </w:r>
      <w:r w:rsidRPr="00166F98">
        <w:rPr>
          <w:rFonts w:ascii="Times New Roman" w:hAnsi="Times New Roman" w:cs="Times New Roman"/>
        </w:rPr>
        <w:t>T</w:t>
      </w:r>
      <w:r w:rsidR="001862EC" w:rsidRPr="00166F98">
        <w:rPr>
          <w:rFonts w:ascii="Times New Roman" w:hAnsi="Times New Roman" w:cs="Times New Roman"/>
        </w:rPr>
        <w:t>ransportation (</w:t>
      </w:r>
      <w:r w:rsidR="00336984">
        <w:rPr>
          <w:rFonts w:ascii="Times New Roman" w:hAnsi="Times New Roman" w:cs="Times New Roman"/>
        </w:rPr>
        <w:t>G</w:t>
      </w:r>
      <w:r w:rsidR="001862EC" w:rsidRPr="00166F98">
        <w:rPr>
          <w:rFonts w:ascii="Times New Roman" w:hAnsi="Times New Roman" w:cs="Times New Roman"/>
        </w:rPr>
        <w:t>DOT)</w:t>
      </w:r>
      <w:r w:rsidRPr="00166F98">
        <w:rPr>
          <w:rFonts w:ascii="Times New Roman" w:hAnsi="Times New Roman" w:cs="Times New Roman"/>
        </w:rPr>
        <w:t xml:space="preserve"> an</w:t>
      </w:r>
      <w:r w:rsidR="0073162B" w:rsidRPr="00166F98">
        <w:rPr>
          <w:rFonts w:ascii="Times New Roman" w:hAnsi="Times New Roman" w:cs="Times New Roman"/>
        </w:rPr>
        <w:t xml:space="preserve">d Forsyth County </w:t>
      </w:r>
      <w:r w:rsidR="00A5264D">
        <w:rPr>
          <w:rFonts w:ascii="Times New Roman" w:hAnsi="Times New Roman" w:cs="Times New Roman"/>
        </w:rPr>
        <w:t>was</w:t>
      </w:r>
      <w:r w:rsidR="00062F2F">
        <w:rPr>
          <w:rFonts w:ascii="Times New Roman" w:hAnsi="Times New Roman" w:cs="Times New Roman"/>
        </w:rPr>
        <w:t xml:space="preserve"> </w:t>
      </w:r>
      <w:r w:rsidR="0073162B" w:rsidRPr="00166F98">
        <w:rPr>
          <w:rFonts w:ascii="Times New Roman" w:hAnsi="Times New Roman" w:cs="Times New Roman"/>
        </w:rPr>
        <w:t>execut</w:t>
      </w:r>
      <w:r w:rsidR="00062F2F">
        <w:rPr>
          <w:rFonts w:ascii="Times New Roman" w:hAnsi="Times New Roman" w:cs="Times New Roman"/>
        </w:rPr>
        <w:t>ed on January 9, 2015</w:t>
      </w:r>
      <w:r w:rsidRPr="00166F98">
        <w:rPr>
          <w:rFonts w:ascii="Times New Roman" w:hAnsi="Times New Roman" w:cs="Times New Roman"/>
        </w:rPr>
        <w:t xml:space="preserve">. The Interchange Justification Report </w:t>
      </w:r>
      <w:r w:rsidR="003F3D02" w:rsidRPr="00166F98">
        <w:rPr>
          <w:rFonts w:ascii="Times New Roman" w:hAnsi="Times New Roman" w:cs="Times New Roman"/>
        </w:rPr>
        <w:t xml:space="preserve">and the project concept report have been approved by </w:t>
      </w:r>
      <w:r w:rsidR="00336984">
        <w:rPr>
          <w:rFonts w:ascii="Times New Roman" w:hAnsi="Times New Roman" w:cs="Times New Roman"/>
        </w:rPr>
        <w:t>G</w:t>
      </w:r>
      <w:r w:rsidR="003F3D02" w:rsidRPr="00166F98">
        <w:rPr>
          <w:rFonts w:ascii="Times New Roman" w:hAnsi="Times New Roman" w:cs="Times New Roman"/>
        </w:rPr>
        <w:t>DOT</w:t>
      </w:r>
      <w:r w:rsidR="00E3080C" w:rsidRPr="00166F98">
        <w:rPr>
          <w:rFonts w:ascii="Times New Roman" w:hAnsi="Times New Roman" w:cs="Times New Roman"/>
        </w:rPr>
        <w:t xml:space="preserve">. </w:t>
      </w:r>
      <w:r w:rsidR="003F3D02" w:rsidRPr="00166F98">
        <w:rPr>
          <w:rFonts w:ascii="Times New Roman" w:hAnsi="Times New Roman" w:cs="Times New Roman"/>
        </w:rPr>
        <w:t>In order to</w:t>
      </w:r>
      <w:r w:rsidRPr="00166F98">
        <w:rPr>
          <w:rFonts w:ascii="Times New Roman" w:hAnsi="Times New Roman" w:cs="Times New Roman"/>
        </w:rPr>
        <w:t xml:space="preserve"> </w:t>
      </w:r>
      <w:r w:rsidR="00336984">
        <w:rPr>
          <w:rFonts w:ascii="Times New Roman" w:hAnsi="Times New Roman" w:cs="Times New Roman"/>
        </w:rPr>
        <w:t>advance</w:t>
      </w:r>
      <w:r w:rsidR="003F3D02" w:rsidRPr="00166F98">
        <w:rPr>
          <w:rFonts w:ascii="Times New Roman" w:hAnsi="Times New Roman" w:cs="Times New Roman"/>
        </w:rPr>
        <w:t xml:space="preserve"> the project, the North Fulton CID and a local developer have</w:t>
      </w:r>
      <w:r w:rsidRPr="00166F98">
        <w:rPr>
          <w:rFonts w:ascii="Times New Roman" w:hAnsi="Times New Roman" w:cs="Times New Roman"/>
        </w:rPr>
        <w:t xml:space="preserve"> agree</w:t>
      </w:r>
      <w:r w:rsidR="003F3D02" w:rsidRPr="00166F98">
        <w:rPr>
          <w:rFonts w:ascii="Times New Roman" w:hAnsi="Times New Roman" w:cs="Times New Roman"/>
        </w:rPr>
        <w:t>d</w:t>
      </w:r>
      <w:r w:rsidRPr="00166F98">
        <w:rPr>
          <w:rFonts w:ascii="Times New Roman" w:hAnsi="Times New Roman" w:cs="Times New Roman"/>
        </w:rPr>
        <w:t xml:space="preserve"> to fund the local match for preliminary engineering.</w:t>
      </w:r>
      <w:r w:rsidR="000F31C6">
        <w:rPr>
          <w:rFonts w:ascii="Times New Roman" w:hAnsi="Times New Roman" w:cs="Times New Roman"/>
        </w:rPr>
        <w:t xml:space="preserve">  The d</w:t>
      </w:r>
      <w:r w:rsidR="000F31C6" w:rsidRPr="000F31C6">
        <w:rPr>
          <w:rFonts w:ascii="Times New Roman" w:hAnsi="Times New Roman" w:cs="Times New Roman"/>
        </w:rPr>
        <w:t>atabase</w:t>
      </w:r>
      <w:r w:rsidR="000F31C6">
        <w:rPr>
          <w:rFonts w:ascii="Times New Roman" w:hAnsi="Times New Roman" w:cs="Times New Roman"/>
        </w:rPr>
        <w:t xml:space="preserve"> preparation </w:t>
      </w:r>
      <w:r w:rsidR="000F31C6" w:rsidRPr="000F31C6">
        <w:rPr>
          <w:rFonts w:ascii="Times New Roman" w:hAnsi="Times New Roman" w:cs="Times New Roman"/>
        </w:rPr>
        <w:t xml:space="preserve">is </w:t>
      </w:r>
      <w:r w:rsidR="000F31C6">
        <w:rPr>
          <w:rFonts w:ascii="Times New Roman" w:hAnsi="Times New Roman" w:cs="Times New Roman"/>
        </w:rPr>
        <w:t>complete and is being reviewed by GDOT for approval</w:t>
      </w:r>
      <w:r w:rsidR="000F31C6" w:rsidRPr="000F31C6">
        <w:rPr>
          <w:rFonts w:ascii="Times New Roman" w:hAnsi="Times New Roman" w:cs="Times New Roman"/>
        </w:rPr>
        <w:t>.</w:t>
      </w:r>
      <w:r w:rsidR="000F31C6">
        <w:rPr>
          <w:rFonts w:ascii="Times New Roman" w:hAnsi="Times New Roman" w:cs="Times New Roman"/>
        </w:rPr>
        <w:t xml:space="preserve">  </w:t>
      </w:r>
      <w:r w:rsidR="00A5264D">
        <w:rPr>
          <w:rFonts w:ascii="Times New Roman" w:hAnsi="Times New Roman" w:cs="Times New Roman"/>
        </w:rPr>
        <w:t xml:space="preserve">Most of the environmental special studies are complete </w:t>
      </w:r>
      <w:r w:rsidR="00FA1C04">
        <w:rPr>
          <w:rFonts w:ascii="Times New Roman" w:hAnsi="Times New Roman" w:cs="Times New Roman"/>
        </w:rPr>
        <w:t xml:space="preserve">and </w:t>
      </w:r>
      <w:r w:rsidR="00A5264D">
        <w:rPr>
          <w:rFonts w:ascii="Times New Roman" w:hAnsi="Times New Roman" w:cs="Times New Roman"/>
        </w:rPr>
        <w:t xml:space="preserve">are already approved by GDOT.  The </w:t>
      </w:r>
      <w:r w:rsidR="000F31C6" w:rsidRPr="000F31C6">
        <w:rPr>
          <w:rFonts w:ascii="Times New Roman" w:hAnsi="Times New Roman" w:cs="Times New Roman"/>
        </w:rPr>
        <w:t xml:space="preserve">alignment </w:t>
      </w:r>
      <w:r w:rsidR="00A5264D">
        <w:rPr>
          <w:rFonts w:ascii="Times New Roman" w:hAnsi="Times New Roman" w:cs="Times New Roman"/>
        </w:rPr>
        <w:t xml:space="preserve">is set </w:t>
      </w:r>
      <w:r w:rsidR="000F31C6" w:rsidRPr="000F31C6">
        <w:rPr>
          <w:rFonts w:ascii="Times New Roman" w:hAnsi="Times New Roman" w:cs="Times New Roman"/>
        </w:rPr>
        <w:t xml:space="preserve">and </w:t>
      </w:r>
      <w:r w:rsidR="00A5264D">
        <w:rPr>
          <w:rFonts w:ascii="Times New Roman" w:hAnsi="Times New Roman" w:cs="Times New Roman"/>
        </w:rPr>
        <w:t xml:space="preserve">work is on-going related to the </w:t>
      </w:r>
      <w:r w:rsidR="000F31C6" w:rsidRPr="000F31C6">
        <w:rPr>
          <w:rFonts w:ascii="Times New Roman" w:hAnsi="Times New Roman" w:cs="Times New Roman"/>
        </w:rPr>
        <w:t>plan</w:t>
      </w:r>
      <w:r w:rsidR="00A5264D">
        <w:rPr>
          <w:rFonts w:ascii="Times New Roman" w:hAnsi="Times New Roman" w:cs="Times New Roman"/>
        </w:rPr>
        <w:t>s</w:t>
      </w:r>
      <w:r w:rsidR="000F31C6" w:rsidRPr="000F31C6">
        <w:rPr>
          <w:rFonts w:ascii="Times New Roman" w:hAnsi="Times New Roman" w:cs="Times New Roman"/>
        </w:rPr>
        <w:t xml:space="preserve"> and profiles as well as looking at the major drainage crossings.</w:t>
      </w:r>
      <w:r w:rsidR="000F31C6">
        <w:rPr>
          <w:rFonts w:ascii="Times New Roman" w:hAnsi="Times New Roman" w:cs="Times New Roman"/>
        </w:rPr>
        <w:t xml:space="preserve"> The following are the c</w:t>
      </w:r>
      <w:r w:rsidR="000F31C6" w:rsidRPr="000F31C6">
        <w:rPr>
          <w:rFonts w:ascii="Times New Roman" w:hAnsi="Times New Roman" w:cs="Times New Roman"/>
        </w:rPr>
        <w:t xml:space="preserve">ompleted </w:t>
      </w:r>
      <w:r w:rsidR="000F31C6">
        <w:rPr>
          <w:rFonts w:ascii="Times New Roman" w:hAnsi="Times New Roman" w:cs="Times New Roman"/>
        </w:rPr>
        <w:t>milestones</w:t>
      </w:r>
      <w:r w:rsidR="000F31C6" w:rsidRPr="000F31C6">
        <w:rPr>
          <w:rFonts w:ascii="Times New Roman" w:hAnsi="Times New Roman" w:cs="Times New Roman"/>
        </w:rPr>
        <w:t xml:space="preserve"> to date:</w:t>
      </w:r>
    </w:p>
    <w:p w:rsidR="000F31C6" w:rsidRPr="000F31C6" w:rsidRDefault="000F31C6" w:rsidP="000F31C6">
      <w:pPr>
        <w:pStyle w:val="ListParagraph"/>
        <w:numPr>
          <w:ilvl w:val="0"/>
          <w:numId w:val="4"/>
        </w:numPr>
        <w:jc w:val="both"/>
        <w:rPr>
          <w:rFonts w:ascii="Times New Roman" w:hAnsi="Times New Roman" w:cs="Times New Roman"/>
        </w:rPr>
      </w:pPr>
      <w:r w:rsidRPr="000F31C6">
        <w:rPr>
          <w:rFonts w:ascii="Times New Roman" w:hAnsi="Times New Roman" w:cs="Times New Roman"/>
        </w:rPr>
        <w:t>Interchange Feasibility Report (IFR) GDOT approval – March  2010</w:t>
      </w:r>
    </w:p>
    <w:p w:rsidR="000F31C6" w:rsidRPr="000F31C6" w:rsidRDefault="000F31C6" w:rsidP="000F31C6">
      <w:pPr>
        <w:pStyle w:val="ListParagraph"/>
        <w:numPr>
          <w:ilvl w:val="0"/>
          <w:numId w:val="4"/>
        </w:numPr>
        <w:jc w:val="both"/>
        <w:rPr>
          <w:rFonts w:ascii="Times New Roman" w:hAnsi="Times New Roman" w:cs="Times New Roman"/>
        </w:rPr>
      </w:pPr>
      <w:r w:rsidRPr="000F31C6">
        <w:rPr>
          <w:rFonts w:ascii="Times New Roman" w:hAnsi="Times New Roman" w:cs="Times New Roman"/>
        </w:rPr>
        <w:t>Interchange Justification Report (IJR) GDOT approval – February  2013</w:t>
      </w:r>
    </w:p>
    <w:p w:rsidR="000F31C6" w:rsidRPr="000F31C6" w:rsidRDefault="000F31C6" w:rsidP="000F31C6">
      <w:pPr>
        <w:pStyle w:val="ListParagraph"/>
        <w:numPr>
          <w:ilvl w:val="0"/>
          <w:numId w:val="4"/>
        </w:numPr>
        <w:jc w:val="both"/>
        <w:rPr>
          <w:rFonts w:ascii="Times New Roman" w:hAnsi="Times New Roman" w:cs="Times New Roman"/>
        </w:rPr>
      </w:pPr>
      <w:r w:rsidRPr="000F31C6">
        <w:rPr>
          <w:rFonts w:ascii="Times New Roman" w:hAnsi="Times New Roman" w:cs="Times New Roman"/>
        </w:rPr>
        <w:t>Concept Report GDOT approval – November 2014</w:t>
      </w:r>
    </w:p>
    <w:p w:rsidR="000F31C6" w:rsidRPr="000F31C6" w:rsidRDefault="000F31C6" w:rsidP="000F31C6">
      <w:pPr>
        <w:pStyle w:val="ListParagraph"/>
        <w:numPr>
          <w:ilvl w:val="0"/>
          <w:numId w:val="4"/>
        </w:numPr>
        <w:jc w:val="both"/>
        <w:rPr>
          <w:rFonts w:ascii="Times New Roman" w:hAnsi="Times New Roman" w:cs="Times New Roman"/>
        </w:rPr>
      </w:pPr>
      <w:r w:rsidRPr="000F31C6">
        <w:rPr>
          <w:rFonts w:ascii="Times New Roman" w:hAnsi="Times New Roman" w:cs="Times New Roman"/>
        </w:rPr>
        <w:t>Public Information Open House – September 2015</w:t>
      </w:r>
    </w:p>
    <w:p w:rsidR="000F31C6" w:rsidRPr="000F31C6" w:rsidRDefault="000F31C6" w:rsidP="000F31C6">
      <w:pPr>
        <w:jc w:val="both"/>
        <w:rPr>
          <w:rFonts w:ascii="Times New Roman" w:hAnsi="Times New Roman" w:cs="Times New Roman"/>
        </w:rPr>
      </w:pPr>
      <w:r>
        <w:rPr>
          <w:rFonts w:ascii="Times New Roman" w:hAnsi="Times New Roman" w:cs="Times New Roman"/>
        </w:rPr>
        <w:lastRenderedPageBreak/>
        <w:t>Below are the p</w:t>
      </w:r>
      <w:r w:rsidRPr="000F31C6">
        <w:rPr>
          <w:rFonts w:ascii="Times New Roman" w:hAnsi="Times New Roman" w:cs="Times New Roman"/>
        </w:rPr>
        <w:t xml:space="preserve">rojected </w:t>
      </w:r>
      <w:r>
        <w:rPr>
          <w:rFonts w:ascii="Times New Roman" w:hAnsi="Times New Roman" w:cs="Times New Roman"/>
        </w:rPr>
        <w:t>m</w:t>
      </w:r>
      <w:r w:rsidRPr="000F31C6">
        <w:rPr>
          <w:rFonts w:ascii="Times New Roman" w:hAnsi="Times New Roman" w:cs="Times New Roman"/>
        </w:rPr>
        <w:t xml:space="preserve">ilestone </w:t>
      </w:r>
      <w:r>
        <w:rPr>
          <w:rFonts w:ascii="Times New Roman" w:hAnsi="Times New Roman" w:cs="Times New Roman"/>
        </w:rPr>
        <w:t>d</w:t>
      </w:r>
      <w:r w:rsidRPr="000F31C6">
        <w:rPr>
          <w:rFonts w:ascii="Times New Roman" w:hAnsi="Times New Roman" w:cs="Times New Roman"/>
        </w:rPr>
        <w:t>ates</w:t>
      </w:r>
      <w:r>
        <w:rPr>
          <w:rFonts w:ascii="Times New Roman" w:hAnsi="Times New Roman" w:cs="Times New Roman"/>
        </w:rPr>
        <w:t xml:space="preserve"> for the key outstanding activities</w:t>
      </w:r>
      <w:r w:rsidRPr="000F31C6">
        <w:rPr>
          <w:rFonts w:ascii="Times New Roman" w:hAnsi="Times New Roman" w:cs="Times New Roman"/>
        </w:rPr>
        <w:t>:</w:t>
      </w:r>
    </w:p>
    <w:p w:rsidR="000F31C6" w:rsidRPr="000F31C6" w:rsidRDefault="000F31C6" w:rsidP="000F31C6">
      <w:pPr>
        <w:pStyle w:val="ListParagraph"/>
        <w:numPr>
          <w:ilvl w:val="0"/>
          <w:numId w:val="5"/>
        </w:numPr>
        <w:jc w:val="both"/>
        <w:rPr>
          <w:rFonts w:ascii="Times New Roman" w:hAnsi="Times New Roman" w:cs="Times New Roman"/>
        </w:rPr>
      </w:pPr>
      <w:r w:rsidRPr="000F31C6">
        <w:rPr>
          <w:rFonts w:ascii="Times New Roman" w:hAnsi="Times New Roman" w:cs="Times New Roman"/>
        </w:rPr>
        <w:t>Environmental approval – December 2016</w:t>
      </w:r>
    </w:p>
    <w:p w:rsidR="000F31C6" w:rsidRPr="000F31C6" w:rsidRDefault="000F31C6" w:rsidP="000F31C6">
      <w:pPr>
        <w:pStyle w:val="ListParagraph"/>
        <w:numPr>
          <w:ilvl w:val="0"/>
          <w:numId w:val="5"/>
        </w:numPr>
        <w:jc w:val="both"/>
        <w:rPr>
          <w:rFonts w:ascii="Times New Roman" w:hAnsi="Times New Roman" w:cs="Times New Roman"/>
        </w:rPr>
      </w:pPr>
      <w:r w:rsidRPr="000F31C6">
        <w:rPr>
          <w:rFonts w:ascii="Times New Roman" w:hAnsi="Times New Roman" w:cs="Times New Roman"/>
        </w:rPr>
        <w:t>Right of Way acquisition completion – February 2018</w:t>
      </w:r>
    </w:p>
    <w:p w:rsidR="00492DBC" w:rsidRPr="000F31C6" w:rsidRDefault="000F31C6" w:rsidP="000F31C6">
      <w:pPr>
        <w:pStyle w:val="ListParagraph"/>
        <w:numPr>
          <w:ilvl w:val="0"/>
          <w:numId w:val="5"/>
        </w:numPr>
        <w:jc w:val="both"/>
        <w:rPr>
          <w:rFonts w:ascii="Times New Roman" w:hAnsi="Times New Roman" w:cs="Times New Roman"/>
        </w:rPr>
      </w:pPr>
      <w:r w:rsidRPr="000F31C6">
        <w:rPr>
          <w:rFonts w:ascii="Times New Roman" w:hAnsi="Times New Roman" w:cs="Times New Roman"/>
        </w:rPr>
        <w:t>Construction let date – May 2018</w:t>
      </w:r>
      <w:r w:rsidR="00B720D3" w:rsidRPr="000F31C6">
        <w:rPr>
          <w:rFonts w:ascii="Times New Roman" w:hAnsi="Times New Roman" w:cs="Times New Roman"/>
        </w:rPr>
        <w:t xml:space="preserve"> </w:t>
      </w:r>
    </w:p>
    <w:p w:rsidR="00E32EB0" w:rsidRPr="00C37AD3" w:rsidRDefault="00FB7F3C" w:rsidP="00E32EB0">
      <w:pPr>
        <w:jc w:val="center"/>
        <w:rPr>
          <w:rFonts w:ascii="Times New Roman" w:hAnsi="Times New Roman" w:cs="Times New Roman"/>
          <w:b/>
          <w:u w:val="single"/>
        </w:rPr>
      </w:pPr>
      <w:r w:rsidRPr="00C37AD3">
        <w:rPr>
          <w:rFonts w:ascii="Times New Roman" w:hAnsi="Times New Roman" w:cs="Times New Roman"/>
          <w:b/>
          <w:u w:val="single"/>
        </w:rPr>
        <w:t>Project Funding</w:t>
      </w:r>
      <w:r w:rsidR="00556965" w:rsidRPr="00C37AD3">
        <w:rPr>
          <w:rFonts w:ascii="Times New Roman" w:hAnsi="Times New Roman" w:cs="Times New Roman"/>
          <w:b/>
          <w:u w:val="single"/>
        </w:rPr>
        <w:t xml:space="preserve"> Summary</w:t>
      </w:r>
    </w:p>
    <w:tbl>
      <w:tblPr>
        <w:tblStyle w:val="TableGrid"/>
        <w:tblW w:w="11571" w:type="dxa"/>
        <w:jc w:val="center"/>
        <w:tblLook w:val="04A0" w:firstRow="1" w:lastRow="0" w:firstColumn="1" w:lastColumn="0" w:noHBand="0" w:noVBand="1"/>
      </w:tblPr>
      <w:tblGrid>
        <w:gridCol w:w="1952"/>
        <w:gridCol w:w="1440"/>
        <w:gridCol w:w="1440"/>
        <w:gridCol w:w="1406"/>
        <w:gridCol w:w="1492"/>
        <w:gridCol w:w="1350"/>
        <w:gridCol w:w="1250"/>
        <w:gridCol w:w="1241"/>
      </w:tblGrid>
      <w:tr w:rsidR="001862EC" w:rsidRPr="00166F98" w:rsidTr="00BA7C13">
        <w:trPr>
          <w:jc w:val="center"/>
        </w:trPr>
        <w:tc>
          <w:tcPr>
            <w:tcW w:w="1952" w:type="dxa"/>
          </w:tcPr>
          <w:p w:rsidR="001862EC" w:rsidRPr="00166F98" w:rsidRDefault="001862EC" w:rsidP="00556965">
            <w:pPr>
              <w:jc w:val="center"/>
              <w:rPr>
                <w:rFonts w:ascii="Times New Roman" w:hAnsi="Times New Roman" w:cs="Times New Roman"/>
                <w:b/>
                <w:sz w:val="20"/>
                <w:szCs w:val="20"/>
              </w:rPr>
            </w:pPr>
            <w:r w:rsidRPr="00166F98">
              <w:rPr>
                <w:rFonts w:ascii="Times New Roman" w:hAnsi="Times New Roman" w:cs="Times New Roman"/>
                <w:b/>
                <w:sz w:val="20"/>
                <w:szCs w:val="20"/>
              </w:rPr>
              <w:t>Phase</w:t>
            </w:r>
          </w:p>
        </w:tc>
        <w:tc>
          <w:tcPr>
            <w:tcW w:w="1440" w:type="dxa"/>
          </w:tcPr>
          <w:p w:rsidR="001862EC" w:rsidRPr="00166F98" w:rsidRDefault="001862EC" w:rsidP="00415C7A">
            <w:pPr>
              <w:jc w:val="center"/>
              <w:rPr>
                <w:rFonts w:ascii="Times New Roman" w:hAnsi="Times New Roman" w:cs="Times New Roman"/>
                <w:b/>
                <w:sz w:val="20"/>
                <w:szCs w:val="20"/>
              </w:rPr>
            </w:pPr>
            <w:r w:rsidRPr="00166F98">
              <w:rPr>
                <w:rFonts w:ascii="Times New Roman" w:hAnsi="Times New Roman" w:cs="Times New Roman"/>
                <w:b/>
                <w:sz w:val="20"/>
                <w:szCs w:val="20"/>
              </w:rPr>
              <w:t>State/ Fed Commitment</w:t>
            </w:r>
          </w:p>
        </w:tc>
        <w:tc>
          <w:tcPr>
            <w:tcW w:w="1440" w:type="dxa"/>
          </w:tcPr>
          <w:p w:rsidR="001862EC" w:rsidRPr="00166F98" w:rsidRDefault="001862EC" w:rsidP="00556965">
            <w:pPr>
              <w:jc w:val="center"/>
              <w:rPr>
                <w:rFonts w:ascii="Times New Roman" w:hAnsi="Times New Roman" w:cs="Times New Roman"/>
                <w:b/>
                <w:sz w:val="20"/>
                <w:szCs w:val="20"/>
              </w:rPr>
            </w:pPr>
            <w:r w:rsidRPr="00166F98">
              <w:rPr>
                <w:rFonts w:ascii="Times New Roman" w:hAnsi="Times New Roman" w:cs="Times New Roman"/>
                <w:b/>
                <w:sz w:val="20"/>
                <w:szCs w:val="20"/>
              </w:rPr>
              <w:t>City of Milton Commitment</w:t>
            </w:r>
          </w:p>
        </w:tc>
        <w:tc>
          <w:tcPr>
            <w:tcW w:w="1406" w:type="dxa"/>
          </w:tcPr>
          <w:p w:rsidR="001862EC" w:rsidRPr="00166F98" w:rsidRDefault="001862EC" w:rsidP="00415C7A">
            <w:pPr>
              <w:jc w:val="center"/>
              <w:rPr>
                <w:rFonts w:ascii="Times New Roman" w:hAnsi="Times New Roman" w:cs="Times New Roman"/>
                <w:b/>
                <w:sz w:val="20"/>
                <w:szCs w:val="20"/>
              </w:rPr>
            </w:pPr>
            <w:r w:rsidRPr="00166F98">
              <w:rPr>
                <w:rFonts w:ascii="Times New Roman" w:hAnsi="Times New Roman" w:cs="Times New Roman"/>
                <w:b/>
                <w:sz w:val="20"/>
                <w:szCs w:val="20"/>
              </w:rPr>
              <w:t>City of Alpharetta Commitment</w:t>
            </w:r>
          </w:p>
        </w:tc>
        <w:tc>
          <w:tcPr>
            <w:tcW w:w="1492" w:type="dxa"/>
          </w:tcPr>
          <w:p w:rsidR="001862EC" w:rsidRPr="00166F98" w:rsidRDefault="001862EC" w:rsidP="00C667AF">
            <w:pPr>
              <w:jc w:val="center"/>
              <w:rPr>
                <w:rFonts w:ascii="Times New Roman" w:hAnsi="Times New Roman" w:cs="Times New Roman"/>
                <w:b/>
                <w:sz w:val="20"/>
                <w:szCs w:val="20"/>
              </w:rPr>
            </w:pPr>
            <w:r w:rsidRPr="00166F98">
              <w:rPr>
                <w:rFonts w:ascii="Times New Roman" w:hAnsi="Times New Roman" w:cs="Times New Roman"/>
                <w:b/>
                <w:sz w:val="20"/>
                <w:szCs w:val="20"/>
              </w:rPr>
              <w:t xml:space="preserve">Forsyth County Commitment </w:t>
            </w:r>
          </w:p>
        </w:tc>
        <w:tc>
          <w:tcPr>
            <w:tcW w:w="1350" w:type="dxa"/>
          </w:tcPr>
          <w:p w:rsidR="001862EC" w:rsidRDefault="001862EC" w:rsidP="00556965">
            <w:pPr>
              <w:jc w:val="center"/>
              <w:rPr>
                <w:rFonts w:ascii="Times New Roman" w:hAnsi="Times New Roman" w:cs="Times New Roman"/>
                <w:b/>
                <w:sz w:val="20"/>
                <w:szCs w:val="20"/>
              </w:rPr>
            </w:pPr>
            <w:r w:rsidRPr="00166F98">
              <w:rPr>
                <w:rFonts w:ascii="Times New Roman" w:hAnsi="Times New Roman" w:cs="Times New Roman"/>
                <w:b/>
                <w:sz w:val="20"/>
                <w:szCs w:val="20"/>
              </w:rPr>
              <w:t>NFCID Commitment</w:t>
            </w:r>
          </w:p>
          <w:p w:rsidR="00336984" w:rsidRPr="00166F98" w:rsidRDefault="00336984" w:rsidP="00556965">
            <w:pPr>
              <w:jc w:val="center"/>
              <w:rPr>
                <w:rFonts w:ascii="Times New Roman" w:hAnsi="Times New Roman" w:cs="Times New Roman"/>
                <w:b/>
                <w:sz w:val="20"/>
                <w:szCs w:val="20"/>
              </w:rPr>
            </w:pPr>
            <w:r>
              <w:rPr>
                <w:rFonts w:ascii="Times New Roman" w:hAnsi="Times New Roman" w:cs="Times New Roman"/>
                <w:b/>
                <w:sz w:val="20"/>
                <w:szCs w:val="20"/>
              </w:rPr>
              <w:t>thru 2015</w:t>
            </w:r>
          </w:p>
        </w:tc>
        <w:tc>
          <w:tcPr>
            <w:tcW w:w="1250" w:type="dxa"/>
          </w:tcPr>
          <w:p w:rsidR="001862EC" w:rsidRPr="00166F98" w:rsidRDefault="001862EC" w:rsidP="00166F98">
            <w:pPr>
              <w:jc w:val="center"/>
              <w:rPr>
                <w:rFonts w:ascii="Times New Roman" w:hAnsi="Times New Roman" w:cs="Times New Roman"/>
                <w:b/>
                <w:sz w:val="20"/>
                <w:szCs w:val="20"/>
              </w:rPr>
            </w:pPr>
            <w:r w:rsidRPr="00166F98">
              <w:rPr>
                <w:rFonts w:ascii="Times New Roman" w:hAnsi="Times New Roman" w:cs="Times New Roman"/>
                <w:b/>
                <w:sz w:val="20"/>
                <w:szCs w:val="20"/>
              </w:rPr>
              <w:t>Private Investments</w:t>
            </w:r>
          </w:p>
        </w:tc>
        <w:tc>
          <w:tcPr>
            <w:tcW w:w="1241" w:type="dxa"/>
          </w:tcPr>
          <w:p w:rsidR="001862EC" w:rsidRDefault="001862EC" w:rsidP="00166F98">
            <w:pPr>
              <w:jc w:val="center"/>
              <w:rPr>
                <w:rFonts w:ascii="Times New Roman" w:hAnsi="Times New Roman" w:cs="Times New Roman"/>
                <w:b/>
                <w:sz w:val="20"/>
                <w:szCs w:val="20"/>
              </w:rPr>
            </w:pPr>
            <w:r w:rsidRPr="00166F98">
              <w:rPr>
                <w:rFonts w:ascii="Times New Roman" w:hAnsi="Times New Roman" w:cs="Times New Roman"/>
                <w:b/>
                <w:sz w:val="20"/>
                <w:szCs w:val="20"/>
              </w:rPr>
              <w:t>Total Estimate</w:t>
            </w:r>
            <w:r w:rsidR="00166F98">
              <w:rPr>
                <w:rFonts w:ascii="Times New Roman" w:hAnsi="Times New Roman" w:cs="Times New Roman"/>
                <w:b/>
                <w:sz w:val="20"/>
                <w:szCs w:val="20"/>
              </w:rPr>
              <w:t>d</w:t>
            </w:r>
          </w:p>
          <w:p w:rsidR="00166F98" w:rsidRPr="00166F98" w:rsidRDefault="00166F98" w:rsidP="00166F98">
            <w:pPr>
              <w:jc w:val="center"/>
              <w:rPr>
                <w:rFonts w:ascii="Times New Roman" w:hAnsi="Times New Roman" w:cs="Times New Roman"/>
                <w:b/>
                <w:sz w:val="20"/>
                <w:szCs w:val="20"/>
              </w:rPr>
            </w:pPr>
            <w:r>
              <w:rPr>
                <w:rFonts w:ascii="Times New Roman" w:hAnsi="Times New Roman" w:cs="Times New Roman"/>
                <w:b/>
                <w:sz w:val="20"/>
                <w:szCs w:val="20"/>
              </w:rPr>
              <w:t>Costs</w:t>
            </w:r>
            <w:r w:rsidR="00F80C34">
              <w:rPr>
                <w:rFonts w:ascii="Times New Roman" w:hAnsi="Times New Roman" w:cs="Times New Roman"/>
                <w:b/>
                <w:sz w:val="20"/>
                <w:szCs w:val="20"/>
              </w:rPr>
              <w:t>*</w:t>
            </w:r>
          </w:p>
        </w:tc>
      </w:tr>
      <w:tr w:rsidR="00062F2F" w:rsidRPr="00166F98" w:rsidTr="00BA7C13">
        <w:trPr>
          <w:trHeight w:val="566"/>
          <w:jc w:val="center"/>
        </w:trPr>
        <w:tc>
          <w:tcPr>
            <w:tcW w:w="1952" w:type="dxa"/>
          </w:tcPr>
          <w:p w:rsidR="00062F2F" w:rsidRPr="00BA7C13" w:rsidRDefault="00062F2F" w:rsidP="00BA7C13">
            <w:pPr>
              <w:pStyle w:val="NoSpacing"/>
              <w:rPr>
                <w:sz w:val="20"/>
                <w:szCs w:val="20"/>
              </w:rPr>
            </w:pPr>
            <w:r>
              <w:rPr>
                <w:sz w:val="20"/>
                <w:szCs w:val="20"/>
              </w:rPr>
              <w:t>Interchange Feasibility Report (IFR)</w:t>
            </w:r>
          </w:p>
        </w:tc>
        <w:tc>
          <w:tcPr>
            <w:tcW w:w="1440" w:type="dxa"/>
          </w:tcPr>
          <w:p w:rsidR="00062F2F" w:rsidRPr="00BA7C13" w:rsidRDefault="00062F2F" w:rsidP="00BA7C13">
            <w:pPr>
              <w:pStyle w:val="NoSpacing"/>
              <w:jc w:val="center"/>
              <w:rPr>
                <w:color w:val="000000"/>
                <w:sz w:val="20"/>
                <w:szCs w:val="20"/>
              </w:rPr>
            </w:pPr>
          </w:p>
        </w:tc>
        <w:tc>
          <w:tcPr>
            <w:tcW w:w="1440" w:type="dxa"/>
          </w:tcPr>
          <w:p w:rsidR="00062F2F" w:rsidRPr="00BA7C13" w:rsidRDefault="00062F2F" w:rsidP="00BA7C13">
            <w:pPr>
              <w:pStyle w:val="NoSpacing"/>
              <w:jc w:val="center"/>
              <w:rPr>
                <w:color w:val="000000"/>
                <w:sz w:val="20"/>
                <w:szCs w:val="20"/>
              </w:rPr>
            </w:pPr>
          </w:p>
        </w:tc>
        <w:tc>
          <w:tcPr>
            <w:tcW w:w="1406" w:type="dxa"/>
          </w:tcPr>
          <w:p w:rsidR="00062F2F" w:rsidRPr="00BA7C13" w:rsidRDefault="00062F2F" w:rsidP="00BA7C13">
            <w:pPr>
              <w:pStyle w:val="NoSpacing"/>
              <w:jc w:val="center"/>
              <w:rPr>
                <w:color w:val="000000"/>
                <w:sz w:val="20"/>
                <w:szCs w:val="20"/>
              </w:rPr>
            </w:pPr>
          </w:p>
        </w:tc>
        <w:tc>
          <w:tcPr>
            <w:tcW w:w="1492" w:type="dxa"/>
          </w:tcPr>
          <w:p w:rsidR="00062F2F" w:rsidRPr="00BA7C13" w:rsidRDefault="00062F2F" w:rsidP="00453229">
            <w:pPr>
              <w:pStyle w:val="NoSpacing"/>
              <w:jc w:val="center"/>
              <w:rPr>
                <w:color w:val="000000"/>
                <w:sz w:val="20"/>
                <w:szCs w:val="20"/>
              </w:rPr>
            </w:pPr>
            <w:r>
              <w:rPr>
                <w:color w:val="000000"/>
                <w:sz w:val="20"/>
                <w:szCs w:val="20"/>
              </w:rPr>
              <w:t>$5</w:t>
            </w:r>
            <w:r w:rsidR="00453229">
              <w:rPr>
                <w:color w:val="000000"/>
                <w:sz w:val="20"/>
                <w:szCs w:val="20"/>
              </w:rPr>
              <w:t>0</w:t>
            </w:r>
            <w:r>
              <w:rPr>
                <w:color w:val="000000"/>
                <w:sz w:val="20"/>
                <w:szCs w:val="20"/>
              </w:rPr>
              <w:t>,000</w:t>
            </w:r>
          </w:p>
        </w:tc>
        <w:tc>
          <w:tcPr>
            <w:tcW w:w="1350" w:type="dxa"/>
          </w:tcPr>
          <w:p w:rsidR="00062F2F" w:rsidRPr="007A5FD3" w:rsidRDefault="00062F2F" w:rsidP="007A5FD3">
            <w:pPr>
              <w:pStyle w:val="NoSpacing"/>
              <w:jc w:val="center"/>
              <w:rPr>
                <w:color w:val="000000"/>
                <w:sz w:val="20"/>
                <w:szCs w:val="20"/>
              </w:rPr>
            </w:pPr>
            <w:r>
              <w:rPr>
                <w:color w:val="000000"/>
                <w:sz w:val="20"/>
                <w:szCs w:val="20"/>
              </w:rPr>
              <w:t>$100,000</w:t>
            </w:r>
          </w:p>
        </w:tc>
        <w:tc>
          <w:tcPr>
            <w:tcW w:w="1250" w:type="dxa"/>
          </w:tcPr>
          <w:p w:rsidR="00062F2F" w:rsidRDefault="00062F2F" w:rsidP="00BA7C13">
            <w:pPr>
              <w:pStyle w:val="NoSpacing"/>
              <w:jc w:val="center"/>
              <w:rPr>
                <w:color w:val="000000"/>
                <w:sz w:val="20"/>
                <w:szCs w:val="20"/>
              </w:rPr>
            </w:pPr>
            <w:r>
              <w:rPr>
                <w:color w:val="000000"/>
                <w:sz w:val="20"/>
                <w:szCs w:val="20"/>
              </w:rPr>
              <w:t>$25,000</w:t>
            </w:r>
          </w:p>
        </w:tc>
        <w:tc>
          <w:tcPr>
            <w:tcW w:w="1241" w:type="dxa"/>
          </w:tcPr>
          <w:p w:rsidR="00062F2F" w:rsidRPr="007A5FD3" w:rsidRDefault="00062F2F" w:rsidP="00453229">
            <w:pPr>
              <w:pStyle w:val="NoSpacing"/>
              <w:jc w:val="center"/>
              <w:rPr>
                <w:color w:val="000000"/>
                <w:sz w:val="20"/>
                <w:szCs w:val="20"/>
              </w:rPr>
            </w:pPr>
            <w:r>
              <w:rPr>
                <w:color w:val="000000"/>
                <w:sz w:val="20"/>
                <w:szCs w:val="20"/>
              </w:rPr>
              <w:t>$1</w:t>
            </w:r>
            <w:r w:rsidR="00453229">
              <w:rPr>
                <w:color w:val="000000"/>
                <w:sz w:val="20"/>
                <w:szCs w:val="20"/>
              </w:rPr>
              <w:t>7</w:t>
            </w:r>
            <w:r>
              <w:rPr>
                <w:color w:val="000000"/>
                <w:sz w:val="20"/>
                <w:szCs w:val="20"/>
              </w:rPr>
              <w:t>5,000</w:t>
            </w:r>
          </w:p>
        </w:tc>
      </w:tr>
      <w:tr w:rsidR="001862EC" w:rsidRPr="00166F98" w:rsidTr="00BA7C13">
        <w:trPr>
          <w:trHeight w:val="566"/>
          <w:jc w:val="center"/>
        </w:trPr>
        <w:tc>
          <w:tcPr>
            <w:tcW w:w="1952" w:type="dxa"/>
          </w:tcPr>
          <w:p w:rsidR="001862EC" w:rsidRPr="00BA7C13" w:rsidRDefault="00BE2B85" w:rsidP="00BA7C13">
            <w:pPr>
              <w:pStyle w:val="NoSpacing"/>
              <w:rPr>
                <w:sz w:val="20"/>
                <w:szCs w:val="20"/>
              </w:rPr>
            </w:pPr>
            <w:r w:rsidRPr="00BA7C13">
              <w:rPr>
                <w:sz w:val="20"/>
                <w:szCs w:val="20"/>
              </w:rPr>
              <w:t>Interchange Justification Report</w:t>
            </w:r>
            <w:r w:rsidR="00062F2F">
              <w:rPr>
                <w:sz w:val="20"/>
                <w:szCs w:val="20"/>
              </w:rPr>
              <w:t xml:space="preserve"> (IJR)</w:t>
            </w:r>
          </w:p>
        </w:tc>
        <w:tc>
          <w:tcPr>
            <w:tcW w:w="1440" w:type="dxa"/>
          </w:tcPr>
          <w:p w:rsidR="007D475F" w:rsidRPr="00BA7C13" w:rsidRDefault="00BE2B85" w:rsidP="00BA7C13">
            <w:pPr>
              <w:pStyle w:val="NoSpacing"/>
              <w:jc w:val="center"/>
              <w:rPr>
                <w:color w:val="000000"/>
                <w:sz w:val="20"/>
                <w:szCs w:val="20"/>
              </w:rPr>
            </w:pPr>
            <w:r w:rsidRPr="00BA7C13">
              <w:rPr>
                <w:color w:val="000000"/>
                <w:sz w:val="20"/>
                <w:szCs w:val="20"/>
              </w:rPr>
              <w:t>$</w:t>
            </w:r>
            <w:r w:rsidR="00453229">
              <w:rPr>
                <w:color w:val="000000"/>
                <w:sz w:val="20"/>
                <w:szCs w:val="20"/>
              </w:rPr>
              <w:t>100,00</w:t>
            </w:r>
            <w:r w:rsidRPr="00BA7C13">
              <w:rPr>
                <w:color w:val="000000"/>
                <w:sz w:val="20"/>
                <w:szCs w:val="20"/>
              </w:rPr>
              <w:t>0</w:t>
            </w:r>
          </w:p>
        </w:tc>
        <w:tc>
          <w:tcPr>
            <w:tcW w:w="1440" w:type="dxa"/>
          </w:tcPr>
          <w:p w:rsidR="001862EC" w:rsidRPr="00BA7C13" w:rsidRDefault="00BE2B85" w:rsidP="00BA7C13">
            <w:pPr>
              <w:pStyle w:val="NoSpacing"/>
              <w:jc w:val="center"/>
              <w:rPr>
                <w:color w:val="000000"/>
                <w:sz w:val="20"/>
                <w:szCs w:val="20"/>
              </w:rPr>
            </w:pPr>
            <w:r w:rsidRPr="00BA7C13">
              <w:rPr>
                <w:color w:val="000000"/>
                <w:sz w:val="20"/>
                <w:szCs w:val="20"/>
              </w:rPr>
              <w:t>$0</w:t>
            </w:r>
          </w:p>
        </w:tc>
        <w:tc>
          <w:tcPr>
            <w:tcW w:w="1406" w:type="dxa"/>
          </w:tcPr>
          <w:p w:rsidR="001862EC" w:rsidRPr="00BA7C13" w:rsidRDefault="00BE2B85" w:rsidP="00BA7C13">
            <w:pPr>
              <w:pStyle w:val="NoSpacing"/>
              <w:jc w:val="center"/>
              <w:rPr>
                <w:color w:val="000000"/>
                <w:sz w:val="20"/>
                <w:szCs w:val="20"/>
              </w:rPr>
            </w:pPr>
            <w:r w:rsidRPr="00BA7C13">
              <w:rPr>
                <w:color w:val="000000"/>
                <w:sz w:val="20"/>
                <w:szCs w:val="20"/>
              </w:rPr>
              <w:t>$0</w:t>
            </w:r>
          </w:p>
        </w:tc>
        <w:tc>
          <w:tcPr>
            <w:tcW w:w="1492" w:type="dxa"/>
          </w:tcPr>
          <w:p w:rsidR="001862EC" w:rsidRPr="00BA7C13" w:rsidRDefault="00BE2B85" w:rsidP="00BA7C13">
            <w:pPr>
              <w:pStyle w:val="NoSpacing"/>
              <w:jc w:val="center"/>
              <w:rPr>
                <w:color w:val="000000"/>
                <w:sz w:val="20"/>
                <w:szCs w:val="20"/>
              </w:rPr>
            </w:pPr>
            <w:r w:rsidRPr="00BA7C13">
              <w:rPr>
                <w:color w:val="000000"/>
                <w:sz w:val="20"/>
                <w:szCs w:val="20"/>
              </w:rPr>
              <w:t>$</w:t>
            </w:r>
            <w:r w:rsidR="00453229">
              <w:rPr>
                <w:color w:val="000000"/>
                <w:sz w:val="20"/>
                <w:szCs w:val="20"/>
              </w:rPr>
              <w:t>25,00</w:t>
            </w:r>
            <w:r w:rsidRPr="00BA7C13">
              <w:rPr>
                <w:color w:val="000000"/>
                <w:sz w:val="20"/>
                <w:szCs w:val="20"/>
              </w:rPr>
              <w:t>0</w:t>
            </w:r>
          </w:p>
        </w:tc>
        <w:tc>
          <w:tcPr>
            <w:tcW w:w="1350" w:type="dxa"/>
          </w:tcPr>
          <w:p w:rsidR="001862EC" w:rsidRPr="00BA7C13" w:rsidRDefault="001862EC" w:rsidP="007A5FD3">
            <w:pPr>
              <w:pStyle w:val="NoSpacing"/>
              <w:jc w:val="center"/>
              <w:rPr>
                <w:color w:val="000000"/>
                <w:sz w:val="20"/>
                <w:szCs w:val="20"/>
              </w:rPr>
            </w:pPr>
          </w:p>
        </w:tc>
        <w:tc>
          <w:tcPr>
            <w:tcW w:w="1250" w:type="dxa"/>
          </w:tcPr>
          <w:p w:rsidR="001862EC" w:rsidRPr="00BA7C13" w:rsidRDefault="001862EC" w:rsidP="00BA7C13">
            <w:pPr>
              <w:pStyle w:val="NoSpacing"/>
              <w:jc w:val="center"/>
              <w:rPr>
                <w:color w:val="000000"/>
                <w:sz w:val="20"/>
                <w:szCs w:val="20"/>
              </w:rPr>
            </w:pPr>
          </w:p>
        </w:tc>
        <w:tc>
          <w:tcPr>
            <w:tcW w:w="1241" w:type="dxa"/>
          </w:tcPr>
          <w:p w:rsidR="001862EC" w:rsidRPr="00BA7C13" w:rsidRDefault="00BE2B85" w:rsidP="007A5FD3">
            <w:pPr>
              <w:pStyle w:val="NoSpacing"/>
              <w:jc w:val="center"/>
              <w:rPr>
                <w:color w:val="000000"/>
                <w:sz w:val="20"/>
                <w:szCs w:val="20"/>
              </w:rPr>
            </w:pPr>
            <w:r w:rsidRPr="007A5FD3">
              <w:rPr>
                <w:color w:val="000000"/>
                <w:sz w:val="20"/>
                <w:szCs w:val="20"/>
              </w:rPr>
              <w:t>$</w:t>
            </w:r>
            <w:r w:rsidR="007A5FD3">
              <w:rPr>
                <w:color w:val="000000"/>
                <w:sz w:val="20"/>
                <w:szCs w:val="20"/>
              </w:rPr>
              <w:t>125,000</w:t>
            </w:r>
          </w:p>
        </w:tc>
      </w:tr>
      <w:tr w:rsidR="00453229" w:rsidRPr="00166F98" w:rsidTr="00BA7C13">
        <w:trPr>
          <w:trHeight w:val="566"/>
          <w:jc w:val="center"/>
        </w:trPr>
        <w:tc>
          <w:tcPr>
            <w:tcW w:w="1952" w:type="dxa"/>
          </w:tcPr>
          <w:p w:rsidR="00453229" w:rsidRPr="00BA7C13" w:rsidRDefault="00453229" w:rsidP="00BA7C13">
            <w:pPr>
              <w:pStyle w:val="NoSpacing"/>
              <w:rPr>
                <w:sz w:val="20"/>
                <w:szCs w:val="20"/>
              </w:rPr>
            </w:pPr>
            <w:r>
              <w:rPr>
                <w:sz w:val="20"/>
                <w:szCs w:val="20"/>
              </w:rPr>
              <w:t>Concept Report</w:t>
            </w:r>
          </w:p>
        </w:tc>
        <w:tc>
          <w:tcPr>
            <w:tcW w:w="1440" w:type="dxa"/>
          </w:tcPr>
          <w:p w:rsidR="00453229" w:rsidRPr="00BA7C13" w:rsidRDefault="00453229" w:rsidP="00BA7C13">
            <w:pPr>
              <w:pStyle w:val="NoSpacing"/>
              <w:jc w:val="center"/>
              <w:rPr>
                <w:color w:val="000000"/>
                <w:sz w:val="20"/>
                <w:szCs w:val="20"/>
              </w:rPr>
            </w:pPr>
            <w:r>
              <w:rPr>
                <w:color w:val="000000"/>
                <w:sz w:val="20"/>
                <w:szCs w:val="20"/>
              </w:rPr>
              <w:t>$146,000</w:t>
            </w:r>
          </w:p>
        </w:tc>
        <w:tc>
          <w:tcPr>
            <w:tcW w:w="1440" w:type="dxa"/>
          </w:tcPr>
          <w:p w:rsidR="00453229" w:rsidRPr="00BA7C13" w:rsidRDefault="00453229" w:rsidP="00BA7C13">
            <w:pPr>
              <w:pStyle w:val="NoSpacing"/>
              <w:jc w:val="center"/>
              <w:rPr>
                <w:color w:val="000000"/>
                <w:sz w:val="20"/>
                <w:szCs w:val="20"/>
              </w:rPr>
            </w:pPr>
          </w:p>
        </w:tc>
        <w:tc>
          <w:tcPr>
            <w:tcW w:w="1406" w:type="dxa"/>
          </w:tcPr>
          <w:p w:rsidR="00453229" w:rsidRPr="00BA7C13" w:rsidRDefault="00453229" w:rsidP="00BA7C13">
            <w:pPr>
              <w:pStyle w:val="NoSpacing"/>
              <w:jc w:val="center"/>
              <w:rPr>
                <w:color w:val="000000"/>
                <w:sz w:val="20"/>
                <w:szCs w:val="20"/>
              </w:rPr>
            </w:pPr>
          </w:p>
        </w:tc>
        <w:tc>
          <w:tcPr>
            <w:tcW w:w="1492" w:type="dxa"/>
          </w:tcPr>
          <w:p w:rsidR="00453229" w:rsidRPr="00BA7C13" w:rsidRDefault="00453229" w:rsidP="00BA7C13">
            <w:pPr>
              <w:pStyle w:val="NoSpacing"/>
              <w:jc w:val="center"/>
              <w:rPr>
                <w:color w:val="000000"/>
                <w:sz w:val="20"/>
                <w:szCs w:val="20"/>
              </w:rPr>
            </w:pPr>
            <w:r>
              <w:rPr>
                <w:color w:val="000000"/>
                <w:sz w:val="20"/>
                <w:szCs w:val="20"/>
              </w:rPr>
              <w:t>$36,500</w:t>
            </w:r>
          </w:p>
        </w:tc>
        <w:tc>
          <w:tcPr>
            <w:tcW w:w="1350" w:type="dxa"/>
          </w:tcPr>
          <w:p w:rsidR="00453229" w:rsidRPr="007A5FD3" w:rsidDel="00062F2F" w:rsidRDefault="00453229" w:rsidP="007A5FD3">
            <w:pPr>
              <w:pStyle w:val="NoSpacing"/>
              <w:jc w:val="center"/>
              <w:rPr>
                <w:color w:val="000000"/>
                <w:sz w:val="20"/>
                <w:szCs w:val="20"/>
              </w:rPr>
            </w:pPr>
          </w:p>
        </w:tc>
        <w:tc>
          <w:tcPr>
            <w:tcW w:w="1250" w:type="dxa"/>
          </w:tcPr>
          <w:p w:rsidR="00453229" w:rsidDel="00062F2F" w:rsidRDefault="00453229" w:rsidP="00BA7C13">
            <w:pPr>
              <w:pStyle w:val="NoSpacing"/>
              <w:jc w:val="center"/>
              <w:rPr>
                <w:color w:val="000000"/>
                <w:sz w:val="20"/>
                <w:szCs w:val="20"/>
              </w:rPr>
            </w:pPr>
          </w:p>
        </w:tc>
        <w:tc>
          <w:tcPr>
            <w:tcW w:w="1241" w:type="dxa"/>
          </w:tcPr>
          <w:p w:rsidR="00453229" w:rsidRPr="007A5FD3" w:rsidRDefault="00453229" w:rsidP="00453229">
            <w:pPr>
              <w:pStyle w:val="NoSpacing"/>
              <w:jc w:val="center"/>
              <w:rPr>
                <w:color w:val="000000"/>
                <w:sz w:val="20"/>
                <w:szCs w:val="20"/>
              </w:rPr>
            </w:pPr>
            <w:r>
              <w:rPr>
                <w:color w:val="000000"/>
                <w:sz w:val="20"/>
                <w:szCs w:val="20"/>
              </w:rPr>
              <w:t>$182,500</w:t>
            </w:r>
          </w:p>
        </w:tc>
      </w:tr>
      <w:tr w:rsidR="007D475F" w:rsidRPr="00166F98" w:rsidTr="00F80C34">
        <w:trPr>
          <w:trHeight w:val="314"/>
          <w:jc w:val="center"/>
        </w:trPr>
        <w:tc>
          <w:tcPr>
            <w:tcW w:w="1952" w:type="dxa"/>
          </w:tcPr>
          <w:p w:rsidR="007D475F" w:rsidRPr="00BA7C13" w:rsidRDefault="00BE2B85" w:rsidP="00BA7C13">
            <w:pPr>
              <w:pStyle w:val="NoSpacing"/>
              <w:rPr>
                <w:sz w:val="20"/>
                <w:szCs w:val="20"/>
              </w:rPr>
            </w:pPr>
            <w:r w:rsidRPr="00BA7C13">
              <w:rPr>
                <w:sz w:val="20"/>
                <w:szCs w:val="20"/>
              </w:rPr>
              <w:t>Engineering</w:t>
            </w:r>
          </w:p>
        </w:tc>
        <w:tc>
          <w:tcPr>
            <w:tcW w:w="1440" w:type="dxa"/>
          </w:tcPr>
          <w:p w:rsidR="007D475F" w:rsidRPr="00BA7C13" w:rsidRDefault="00BE2B85" w:rsidP="00BA7C13">
            <w:pPr>
              <w:pStyle w:val="NoSpacing"/>
              <w:jc w:val="center"/>
              <w:rPr>
                <w:color w:val="000000"/>
                <w:sz w:val="20"/>
                <w:szCs w:val="20"/>
              </w:rPr>
            </w:pPr>
            <w:r w:rsidRPr="00BA7C13">
              <w:rPr>
                <w:color w:val="000000"/>
                <w:sz w:val="20"/>
                <w:szCs w:val="20"/>
              </w:rPr>
              <w:t>$1,560,000</w:t>
            </w:r>
          </w:p>
        </w:tc>
        <w:tc>
          <w:tcPr>
            <w:tcW w:w="1440" w:type="dxa"/>
          </w:tcPr>
          <w:p w:rsidR="007D475F" w:rsidRPr="00BA7C13" w:rsidRDefault="00BE2B85" w:rsidP="00BA7C13">
            <w:pPr>
              <w:pStyle w:val="NoSpacing"/>
              <w:jc w:val="center"/>
              <w:rPr>
                <w:color w:val="000000"/>
                <w:sz w:val="20"/>
                <w:szCs w:val="20"/>
              </w:rPr>
            </w:pPr>
            <w:r w:rsidRPr="00BA7C13">
              <w:rPr>
                <w:color w:val="000000"/>
                <w:sz w:val="20"/>
                <w:szCs w:val="20"/>
              </w:rPr>
              <w:t>$0.00</w:t>
            </w:r>
          </w:p>
        </w:tc>
        <w:tc>
          <w:tcPr>
            <w:tcW w:w="1406" w:type="dxa"/>
          </w:tcPr>
          <w:p w:rsidR="007D475F" w:rsidRPr="00BA7C13" w:rsidRDefault="00BE2B85" w:rsidP="00BA7C13">
            <w:pPr>
              <w:pStyle w:val="NoSpacing"/>
              <w:jc w:val="center"/>
              <w:rPr>
                <w:sz w:val="20"/>
                <w:szCs w:val="20"/>
              </w:rPr>
            </w:pPr>
            <w:r w:rsidRPr="00BA7C13">
              <w:rPr>
                <w:color w:val="000000"/>
                <w:sz w:val="20"/>
                <w:szCs w:val="20"/>
              </w:rPr>
              <w:t>$0</w:t>
            </w:r>
          </w:p>
        </w:tc>
        <w:tc>
          <w:tcPr>
            <w:tcW w:w="1492" w:type="dxa"/>
          </w:tcPr>
          <w:p w:rsidR="007D475F" w:rsidRPr="00BA7C13" w:rsidRDefault="00BE2B85" w:rsidP="00BA7C13">
            <w:pPr>
              <w:pStyle w:val="NoSpacing"/>
              <w:jc w:val="center"/>
              <w:rPr>
                <w:sz w:val="20"/>
                <w:szCs w:val="20"/>
              </w:rPr>
            </w:pPr>
            <w:r w:rsidRPr="00BA7C13">
              <w:rPr>
                <w:color w:val="000000"/>
                <w:sz w:val="20"/>
                <w:szCs w:val="20"/>
              </w:rPr>
              <w:t>$</w:t>
            </w:r>
            <w:r w:rsidR="000758D8">
              <w:rPr>
                <w:color w:val="000000"/>
                <w:sz w:val="20"/>
                <w:szCs w:val="20"/>
              </w:rPr>
              <w:t>190,00</w:t>
            </w:r>
            <w:r w:rsidRPr="00BA7C13">
              <w:rPr>
                <w:color w:val="000000"/>
                <w:sz w:val="20"/>
                <w:szCs w:val="20"/>
              </w:rPr>
              <w:t>0</w:t>
            </w:r>
          </w:p>
        </w:tc>
        <w:tc>
          <w:tcPr>
            <w:tcW w:w="1350" w:type="dxa"/>
          </w:tcPr>
          <w:p w:rsidR="007D475F" w:rsidRPr="00BA7C13" w:rsidRDefault="00BE2B85" w:rsidP="00BA7C13">
            <w:pPr>
              <w:pStyle w:val="NoSpacing"/>
              <w:jc w:val="center"/>
              <w:rPr>
                <w:color w:val="000000"/>
                <w:sz w:val="20"/>
                <w:szCs w:val="20"/>
              </w:rPr>
            </w:pPr>
            <w:r w:rsidRPr="00BA7C13">
              <w:rPr>
                <w:color w:val="000000"/>
                <w:sz w:val="20"/>
                <w:szCs w:val="20"/>
              </w:rPr>
              <w:t>$200,000</w:t>
            </w:r>
          </w:p>
        </w:tc>
        <w:tc>
          <w:tcPr>
            <w:tcW w:w="1250" w:type="dxa"/>
          </w:tcPr>
          <w:p w:rsidR="007D475F" w:rsidRPr="00BA7C13" w:rsidRDefault="007D475F" w:rsidP="00A5264D">
            <w:pPr>
              <w:pStyle w:val="NoSpacing"/>
              <w:jc w:val="center"/>
              <w:rPr>
                <w:color w:val="000000"/>
                <w:sz w:val="20"/>
                <w:szCs w:val="20"/>
              </w:rPr>
            </w:pPr>
          </w:p>
        </w:tc>
        <w:tc>
          <w:tcPr>
            <w:tcW w:w="1241" w:type="dxa"/>
          </w:tcPr>
          <w:p w:rsidR="007D475F" w:rsidRPr="00BA7C13" w:rsidRDefault="00BE2B85" w:rsidP="00572C09">
            <w:pPr>
              <w:pStyle w:val="NoSpacing"/>
              <w:jc w:val="center"/>
              <w:rPr>
                <w:color w:val="000000"/>
                <w:sz w:val="20"/>
                <w:szCs w:val="20"/>
              </w:rPr>
            </w:pPr>
            <w:r w:rsidRPr="00BA7C13">
              <w:rPr>
                <w:color w:val="000000"/>
                <w:sz w:val="20"/>
                <w:szCs w:val="20"/>
              </w:rPr>
              <w:t>$1,9</w:t>
            </w:r>
            <w:r w:rsidR="00572C09">
              <w:rPr>
                <w:color w:val="000000"/>
                <w:sz w:val="20"/>
                <w:szCs w:val="20"/>
              </w:rPr>
              <w:t>5</w:t>
            </w:r>
            <w:r w:rsidRPr="00BA7C13">
              <w:rPr>
                <w:color w:val="000000"/>
                <w:sz w:val="20"/>
                <w:szCs w:val="20"/>
              </w:rPr>
              <w:t>0,000</w:t>
            </w:r>
          </w:p>
        </w:tc>
      </w:tr>
      <w:tr w:rsidR="007D475F" w:rsidRPr="00166F98" w:rsidTr="00BA7C13">
        <w:trPr>
          <w:trHeight w:val="224"/>
          <w:jc w:val="center"/>
        </w:trPr>
        <w:tc>
          <w:tcPr>
            <w:tcW w:w="1952" w:type="dxa"/>
            <w:tcBorders>
              <w:bottom w:val="single" w:sz="4" w:space="0" w:color="000000" w:themeColor="text1"/>
            </w:tcBorders>
          </w:tcPr>
          <w:p w:rsidR="007D475F" w:rsidRPr="00BA7C13" w:rsidRDefault="00BE2B85" w:rsidP="00BA7C13">
            <w:pPr>
              <w:pStyle w:val="NoSpacing"/>
              <w:rPr>
                <w:sz w:val="20"/>
                <w:szCs w:val="20"/>
              </w:rPr>
            </w:pPr>
            <w:r w:rsidRPr="00BA7C13">
              <w:rPr>
                <w:sz w:val="20"/>
                <w:szCs w:val="20"/>
              </w:rPr>
              <w:t>Right-of-Way</w:t>
            </w:r>
          </w:p>
        </w:tc>
        <w:tc>
          <w:tcPr>
            <w:tcW w:w="1440" w:type="dxa"/>
            <w:tcBorders>
              <w:bottom w:val="single" w:sz="4" w:space="0" w:color="000000" w:themeColor="text1"/>
            </w:tcBorders>
          </w:tcPr>
          <w:p w:rsidR="007D475F" w:rsidRPr="00BA7C13" w:rsidRDefault="00F80C34" w:rsidP="00BA7C13">
            <w:pPr>
              <w:pStyle w:val="NoSpacing"/>
              <w:jc w:val="center"/>
              <w:rPr>
                <w:sz w:val="20"/>
                <w:szCs w:val="20"/>
              </w:rPr>
            </w:pPr>
            <w:r>
              <w:rPr>
                <w:color w:val="000000"/>
                <w:sz w:val="20"/>
                <w:szCs w:val="20"/>
              </w:rPr>
              <w:t>$5,000,000</w:t>
            </w:r>
          </w:p>
        </w:tc>
        <w:tc>
          <w:tcPr>
            <w:tcW w:w="1440" w:type="dxa"/>
            <w:tcBorders>
              <w:bottom w:val="single" w:sz="4" w:space="0" w:color="000000" w:themeColor="text1"/>
            </w:tcBorders>
          </w:tcPr>
          <w:p w:rsidR="007D475F" w:rsidRPr="00BA7C13" w:rsidRDefault="00BE2B85" w:rsidP="00BA7C13">
            <w:pPr>
              <w:pStyle w:val="NoSpacing"/>
              <w:jc w:val="center"/>
              <w:rPr>
                <w:sz w:val="20"/>
                <w:szCs w:val="20"/>
              </w:rPr>
            </w:pPr>
            <w:r w:rsidRPr="00BA7C13">
              <w:rPr>
                <w:color w:val="000000"/>
                <w:sz w:val="20"/>
                <w:szCs w:val="20"/>
              </w:rPr>
              <w:t>$0</w:t>
            </w:r>
          </w:p>
        </w:tc>
        <w:tc>
          <w:tcPr>
            <w:tcW w:w="1406" w:type="dxa"/>
            <w:tcBorders>
              <w:bottom w:val="single" w:sz="4" w:space="0" w:color="000000" w:themeColor="text1"/>
            </w:tcBorders>
          </w:tcPr>
          <w:p w:rsidR="007D475F" w:rsidRPr="00BA7C13" w:rsidRDefault="00BE2B85" w:rsidP="00BA7C13">
            <w:pPr>
              <w:pStyle w:val="NoSpacing"/>
              <w:jc w:val="center"/>
              <w:rPr>
                <w:sz w:val="20"/>
                <w:szCs w:val="20"/>
              </w:rPr>
            </w:pPr>
            <w:r w:rsidRPr="00BA7C13">
              <w:rPr>
                <w:color w:val="000000"/>
                <w:sz w:val="20"/>
                <w:szCs w:val="20"/>
              </w:rPr>
              <w:t>$0</w:t>
            </w:r>
          </w:p>
        </w:tc>
        <w:tc>
          <w:tcPr>
            <w:tcW w:w="1492" w:type="dxa"/>
            <w:tcBorders>
              <w:bottom w:val="single" w:sz="4" w:space="0" w:color="000000" w:themeColor="text1"/>
            </w:tcBorders>
          </w:tcPr>
          <w:p w:rsidR="007D475F" w:rsidRPr="00BA7C13" w:rsidRDefault="00F80C34" w:rsidP="00BA7C13">
            <w:pPr>
              <w:pStyle w:val="NoSpacing"/>
              <w:jc w:val="center"/>
              <w:rPr>
                <w:color w:val="000000"/>
                <w:sz w:val="20"/>
                <w:szCs w:val="20"/>
              </w:rPr>
            </w:pPr>
            <w:r>
              <w:rPr>
                <w:color w:val="000000"/>
                <w:sz w:val="20"/>
                <w:szCs w:val="20"/>
              </w:rPr>
              <w:t>$8,304,000</w:t>
            </w:r>
          </w:p>
        </w:tc>
        <w:tc>
          <w:tcPr>
            <w:tcW w:w="1350" w:type="dxa"/>
            <w:tcBorders>
              <w:bottom w:val="single" w:sz="4" w:space="0" w:color="000000" w:themeColor="text1"/>
            </w:tcBorders>
          </w:tcPr>
          <w:p w:rsidR="007D475F" w:rsidRPr="00BA7C13" w:rsidRDefault="00BE2B85" w:rsidP="00BA7C13">
            <w:pPr>
              <w:pStyle w:val="NoSpacing"/>
              <w:jc w:val="center"/>
              <w:rPr>
                <w:sz w:val="20"/>
                <w:szCs w:val="20"/>
              </w:rPr>
            </w:pPr>
            <w:r w:rsidRPr="00BA7C13">
              <w:rPr>
                <w:color w:val="000000"/>
                <w:sz w:val="20"/>
                <w:szCs w:val="20"/>
              </w:rPr>
              <w:t>$0</w:t>
            </w:r>
          </w:p>
        </w:tc>
        <w:tc>
          <w:tcPr>
            <w:tcW w:w="1250" w:type="dxa"/>
            <w:tcBorders>
              <w:bottom w:val="single" w:sz="4" w:space="0" w:color="000000" w:themeColor="text1"/>
            </w:tcBorders>
          </w:tcPr>
          <w:p w:rsidR="007D475F" w:rsidRPr="00BA7C13" w:rsidRDefault="00BE2B85" w:rsidP="00BA7C13">
            <w:pPr>
              <w:pStyle w:val="NoSpacing"/>
              <w:jc w:val="center"/>
              <w:rPr>
                <w:sz w:val="20"/>
                <w:szCs w:val="20"/>
              </w:rPr>
            </w:pPr>
            <w:r w:rsidRPr="00BA7C13">
              <w:rPr>
                <w:color w:val="000000"/>
                <w:sz w:val="20"/>
                <w:szCs w:val="20"/>
              </w:rPr>
              <w:t>$0</w:t>
            </w:r>
          </w:p>
        </w:tc>
        <w:tc>
          <w:tcPr>
            <w:tcW w:w="1241" w:type="dxa"/>
            <w:tcBorders>
              <w:bottom w:val="single" w:sz="4" w:space="0" w:color="000000" w:themeColor="text1"/>
            </w:tcBorders>
          </w:tcPr>
          <w:p w:rsidR="007D475F" w:rsidRPr="00BA7C13" w:rsidRDefault="00BE2B85" w:rsidP="00F80C34">
            <w:pPr>
              <w:pStyle w:val="NoSpacing"/>
              <w:jc w:val="center"/>
              <w:rPr>
                <w:color w:val="000000"/>
                <w:sz w:val="20"/>
                <w:szCs w:val="20"/>
              </w:rPr>
            </w:pPr>
            <w:r w:rsidRPr="00BA7C13">
              <w:rPr>
                <w:color w:val="000000"/>
                <w:sz w:val="20"/>
                <w:szCs w:val="20"/>
              </w:rPr>
              <w:t>$1</w:t>
            </w:r>
            <w:r w:rsidR="00F80C34">
              <w:rPr>
                <w:color w:val="000000"/>
                <w:sz w:val="20"/>
                <w:szCs w:val="20"/>
              </w:rPr>
              <w:t>3</w:t>
            </w:r>
            <w:r w:rsidRPr="00BA7C13">
              <w:rPr>
                <w:color w:val="000000"/>
                <w:sz w:val="20"/>
                <w:szCs w:val="20"/>
              </w:rPr>
              <w:t>,3</w:t>
            </w:r>
            <w:r w:rsidR="00F80C34">
              <w:rPr>
                <w:color w:val="000000"/>
                <w:sz w:val="20"/>
                <w:szCs w:val="20"/>
              </w:rPr>
              <w:t>04</w:t>
            </w:r>
            <w:r w:rsidRPr="00BA7C13">
              <w:rPr>
                <w:color w:val="000000"/>
                <w:sz w:val="20"/>
                <w:szCs w:val="20"/>
              </w:rPr>
              <w:t>,000</w:t>
            </w:r>
          </w:p>
        </w:tc>
      </w:tr>
      <w:tr w:rsidR="007D475F" w:rsidRPr="00166F98" w:rsidTr="00BA7C13">
        <w:trPr>
          <w:trHeight w:val="296"/>
          <w:jc w:val="center"/>
        </w:trPr>
        <w:tc>
          <w:tcPr>
            <w:tcW w:w="1952" w:type="dxa"/>
            <w:tcBorders>
              <w:bottom w:val="single" w:sz="4" w:space="0" w:color="auto"/>
            </w:tcBorders>
          </w:tcPr>
          <w:p w:rsidR="007D475F" w:rsidRPr="00BA7C13" w:rsidRDefault="00BE2B85" w:rsidP="00BA7C13">
            <w:pPr>
              <w:pStyle w:val="NoSpacing"/>
              <w:rPr>
                <w:sz w:val="20"/>
                <w:szCs w:val="20"/>
              </w:rPr>
            </w:pPr>
            <w:r w:rsidRPr="00BA7C13">
              <w:rPr>
                <w:sz w:val="20"/>
                <w:szCs w:val="20"/>
              </w:rPr>
              <w:t>Utilities</w:t>
            </w:r>
          </w:p>
        </w:tc>
        <w:tc>
          <w:tcPr>
            <w:tcW w:w="1440" w:type="dxa"/>
            <w:tcBorders>
              <w:bottom w:val="single" w:sz="4" w:space="0" w:color="auto"/>
            </w:tcBorders>
          </w:tcPr>
          <w:p w:rsidR="007D475F" w:rsidRPr="00BA7C13" w:rsidRDefault="00F80C34" w:rsidP="00BA7C13">
            <w:pPr>
              <w:pStyle w:val="NoSpacing"/>
              <w:jc w:val="center"/>
              <w:rPr>
                <w:sz w:val="20"/>
                <w:szCs w:val="20"/>
              </w:rPr>
            </w:pPr>
            <w:r>
              <w:rPr>
                <w:color w:val="000000"/>
                <w:sz w:val="20"/>
                <w:szCs w:val="20"/>
              </w:rPr>
              <w:t>$3,852,000</w:t>
            </w:r>
          </w:p>
        </w:tc>
        <w:tc>
          <w:tcPr>
            <w:tcW w:w="1440" w:type="dxa"/>
            <w:tcBorders>
              <w:bottom w:val="single" w:sz="4" w:space="0" w:color="auto"/>
            </w:tcBorders>
          </w:tcPr>
          <w:p w:rsidR="007D475F" w:rsidRPr="00BA7C13" w:rsidRDefault="00BE2B85" w:rsidP="00BA7C13">
            <w:pPr>
              <w:pStyle w:val="NoSpacing"/>
              <w:jc w:val="center"/>
              <w:rPr>
                <w:sz w:val="20"/>
                <w:szCs w:val="20"/>
              </w:rPr>
            </w:pPr>
            <w:r w:rsidRPr="00BA7C13">
              <w:rPr>
                <w:color w:val="000000"/>
                <w:sz w:val="20"/>
                <w:szCs w:val="20"/>
              </w:rPr>
              <w:t>$0</w:t>
            </w:r>
          </w:p>
        </w:tc>
        <w:tc>
          <w:tcPr>
            <w:tcW w:w="1406" w:type="dxa"/>
            <w:tcBorders>
              <w:bottom w:val="single" w:sz="4" w:space="0" w:color="auto"/>
            </w:tcBorders>
          </w:tcPr>
          <w:p w:rsidR="007D475F" w:rsidRPr="00BA7C13" w:rsidRDefault="00BE2B85" w:rsidP="00BA7C13">
            <w:pPr>
              <w:pStyle w:val="NoSpacing"/>
              <w:jc w:val="center"/>
              <w:rPr>
                <w:sz w:val="20"/>
                <w:szCs w:val="20"/>
              </w:rPr>
            </w:pPr>
            <w:r w:rsidRPr="00BA7C13">
              <w:rPr>
                <w:color w:val="000000"/>
                <w:sz w:val="20"/>
                <w:szCs w:val="20"/>
              </w:rPr>
              <w:t>$0</w:t>
            </w:r>
          </w:p>
        </w:tc>
        <w:tc>
          <w:tcPr>
            <w:tcW w:w="1492" w:type="dxa"/>
            <w:tcBorders>
              <w:bottom w:val="single" w:sz="4" w:space="0" w:color="auto"/>
            </w:tcBorders>
          </w:tcPr>
          <w:p w:rsidR="007D475F" w:rsidRPr="00BA7C13" w:rsidRDefault="00F80C34" w:rsidP="00BA7C13">
            <w:pPr>
              <w:pStyle w:val="NoSpacing"/>
              <w:jc w:val="center"/>
              <w:rPr>
                <w:color w:val="000000"/>
                <w:sz w:val="20"/>
                <w:szCs w:val="20"/>
              </w:rPr>
            </w:pPr>
            <w:r>
              <w:rPr>
                <w:color w:val="000000"/>
                <w:sz w:val="20"/>
                <w:szCs w:val="20"/>
              </w:rPr>
              <w:t>$0</w:t>
            </w:r>
          </w:p>
        </w:tc>
        <w:tc>
          <w:tcPr>
            <w:tcW w:w="1350" w:type="dxa"/>
            <w:tcBorders>
              <w:bottom w:val="single" w:sz="4" w:space="0" w:color="auto"/>
            </w:tcBorders>
          </w:tcPr>
          <w:p w:rsidR="007D475F" w:rsidRPr="00BA7C13" w:rsidRDefault="00BE2B85" w:rsidP="00BA7C13">
            <w:pPr>
              <w:pStyle w:val="NoSpacing"/>
              <w:jc w:val="center"/>
              <w:rPr>
                <w:sz w:val="20"/>
                <w:szCs w:val="20"/>
              </w:rPr>
            </w:pPr>
            <w:r w:rsidRPr="00BA7C13">
              <w:rPr>
                <w:color w:val="000000"/>
                <w:sz w:val="20"/>
                <w:szCs w:val="20"/>
              </w:rPr>
              <w:t>$0</w:t>
            </w:r>
          </w:p>
        </w:tc>
        <w:tc>
          <w:tcPr>
            <w:tcW w:w="1250" w:type="dxa"/>
            <w:tcBorders>
              <w:bottom w:val="single" w:sz="4" w:space="0" w:color="auto"/>
            </w:tcBorders>
          </w:tcPr>
          <w:p w:rsidR="007D475F" w:rsidRPr="00BA7C13" w:rsidRDefault="00BE2B85" w:rsidP="00BA7C13">
            <w:pPr>
              <w:pStyle w:val="NoSpacing"/>
              <w:jc w:val="center"/>
              <w:rPr>
                <w:sz w:val="20"/>
                <w:szCs w:val="20"/>
              </w:rPr>
            </w:pPr>
            <w:r w:rsidRPr="00BA7C13">
              <w:rPr>
                <w:color w:val="000000"/>
                <w:sz w:val="20"/>
                <w:szCs w:val="20"/>
              </w:rPr>
              <w:t>$0</w:t>
            </w:r>
          </w:p>
        </w:tc>
        <w:tc>
          <w:tcPr>
            <w:tcW w:w="1241" w:type="dxa"/>
            <w:tcBorders>
              <w:bottom w:val="single" w:sz="4" w:space="0" w:color="auto"/>
            </w:tcBorders>
          </w:tcPr>
          <w:p w:rsidR="007D475F" w:rsidRPr="00BA7C13" w:rsidRDefault="00BE2B85" w:rsidP="00BA7C13">
            <w:pPr>
              <w:pStyle w:val="NoSpacing"/>
              <w:jc w:val="center"/>
              <w:rPr>
                <w:color w:val="000000"/>
                <w:sz w:val="20"/>
                <w:szCs w:val="20"/>
              </w:rPr>
            </w:pPr>
            <w:r w:rsidRPr="00BA7C13">
              <w:rPr>
                <w:color w:val="000000"/>
                <w:sz w:val="20"/>
                <w:szCs w:val="20"/>
              </w:rPr>
              <w:t>$3,852,000</w:t>
            </w:r>
          </w:p>
        </w:tc>
      </w:tr>
      <w:tr w:rsidR="007D475F" w:rsidRPr="00166F98" w:rsidTr="00BA7C13">
        <w:trPr>
          <w:jc w:val="center"/>
        </w:trPr>
        <w:tc>
          <w:tcPr>
            <w:tcW w:w="1952" w:type="dxa"/>
            <w:tcBorders>
              <w:top w:val="single" w:sz="4" w:space="0" w:color="auto"/>
              <w:bottom w:val="double" w:sz="4" w:space="0" w:color="auto"/>
            </w:tcBorders>
          </w:tcPr>
          <w:p w:rsidR="007D475F" w:rsidRPr="00BA7C13" w:rsidRDefault="00BE2B85" w:rsidP="00BA7C13">
            <w:pPr>
              <w:pStyle w:val="NoSpacing"/>
              <w:rPr>
                <w:sz w:val="20"/>
                <w:szCs w:val="20"/>
              </w:rPr>
            </w:pPr>
            <w:r w:rsidRPr="00BA7C13">
              <w:rPr>
                <w:sz w:val="20"/>
                <w:szCs w:val="20"/>
              </w:rPr>
              <w:t>Construction</w:t>
            </w:r>
          </w:p>
        </w:tc>
        <w:tc>
          <w:tcPr>
            <w:tcW w:w="1440" w:type="dxa"/>
            <w:tcBorders>
              <w:top w:val="single" w:sz="4" w:space="0" w:color="auto"/>
              <w:bottom w:val="double" w:sz="4" w:space="0" w:color="auto"/>
            </w:tcBorders>
          </w:tcPr>
          <w:p w:rsidR="007D475F" w:rsidRPr="00BA7C13" w:rsidRDefault="00F80C34" w:rsidP="00BA7C13">
            <w:pPr>
              <w:pStyle w:val="NoSpacing"/>
              <w:jc w:val="center"/>
              <w:rPr>
                <w:sz w:val="20"/>
                <w:szCs w:val="20"/>
              </w:rPr>
            </w:pPr>
            <w:r>
              <w:rPr>
                <w:color w:val="000000"/>
                <w:sz w:val="20"/>
                <w:szCs w:val="20"/>
              </w:rPr>
              <w:t>$28,566,524</w:t>
            </w:r>
          </w:p>
        </w:tc>
        <w:tc>
          <w:tcPr>
            <w:tcW w:w="1440" w:type="dxa"/>
            <w:tcBorders>
              <w:top w:val="single" w:sz="4" w:space="0" w:color="auto"/>
              <w:bottom w:val="double" w:sz="4" w:space="0" w:color="auto"/>
            </w:tcBorders>
          </w:tcPr>
          <w:p w:rsidR="007D475F" w:rsidRPr="00BA7C13" w:rsidRDefault="00BE2B85" w:rsidP="00BA7C13">
            <w:pPr>
              <w:pStyle w:val="NoSpacing"/>
              <w:jc w:val="center"/>
              <w:rPr>
                <w:sz w:val="20"/>
                <w:szCs w:val="20"/>
              </w:rPr>
            </w:pPr>
            <w:r w:rsidRPr="00BA7C13">
              <w:rPr>
                <w:color w:val="000000"/>
                <w:sz w:val="20"/>
                <w:szCs w:val="20"/>
              </w:rPr>
              <w:t>$0</w:t>
            </w:r>
          </w:p>
        </w:tc>
        <w:tc>
          <w:tcPr>
            <w:tcW w:w="1406" w:type="dxa"/>
            <w:tcBorders>
              <w:top w:val="single" w:sz="4" w:space="0" w:color="auto"/>
              <w:bottom w:val="double" w:sz="4" w:space="0" w:color="auto"/>
            </w:tcBorders>
          </w:tcPr>
          <w:p w:rsidR="007D475F" w:rsidRPr="00BA7C13" w:rsidRDefault="00BE2B85" w:rsidP="00BA7C13">
            <w:pPr>
              <w:pStyle w:val="NoSpacing"/>
              <w:jc w:val="center"/>
              <w:rPr>
                <w:sz w:val="20"/>
                <w:szCs w:val="20"/>
              </w:rPr>
            </w:pPr>
            <w:r w:rsidRPr="00BA7C13">
              <w:rPr>
                <w:color w:val="000000"/>
                <w:sz w:val="20"/>
                <w:szCs w:val="20"/>
              </w:rPr>
              <w:t>$0</w:t>
            </w:r>
          </w:p>
        </w:tc>
        <w:tc>
          <w:tcPr>
            <w:tcW w:w="1492" w:type="dxa"/>
            <w:tcBorders>
              <w:top w:val="single" w:sz="4" w:space="0" w:color="auto"/>
              <w:bottom w:val="double" w:sz="4" w:space="0" w:color="auto"/>
            </w:tcBorders>
          </w:tcPr>
          <w:p w:rsidR="007D475F" w:rsidRPr="00BA7C13" w:rsidRDefault="00F80C34" w:rsidP="00D92378">
            <w:pPr>
              <w:pStyle w:val="NoSpacing"/>
              <w:jc w:val="center"/>
              <w:rPr>
                <w:color w:val="000000"/>
                <w:sz w:val="20"/>
                <w:szCs w:val="20"/>
              </w:rPr>
            </w:pPr>
            <w:r>
              <w:rPr>
                <w:color w:val="000000"/>
                <w:sz w:val="20"/>
                <w:szCs w:val="20"/>
              </w:rPr>
              <w:t>$0</w:t>
            </w:r>
          </w:p>
        </w:tc>
        <w:tc>
          <w:tcPr>
            <w:tcW w:w="1350" w:type="dxa"/>
            <w:tcBorders>
              <w:top w:val="single" w:sz="4" w:space="0" w:color="auto"/>
              <w:bottom w:val="double" w:sz="4" w:space="0" w:color="auto"/>
            </w:tcBorders>
          </w:tcPr>
          <w:p w:rsidR="007D475F" w:rsidRPr="00BA7C13" w:rsidRDefault="00BE2B85" w:rsidP="00BA7C13">
            <w:pPr>
              <w:pStyle w:val="NoSpacing"/>
              <w:jc w:val="center"/>
              <w:rPr>
                <w:sz w:val="20"/>
                <w:szCs w:val="20"/>
              </w:rPr>
            </w:pPr>
            <w:r w:rsidRPr="00BA7C13">
              <w:rPr>
                <w:color w:val="000000"/>
                <w:sz w:val="20"/>
                <w:szCs w:val="20"/>
              </w:rPr>
              <w:t>$0</w:t>
            </w:r>
          </w:p>
        </w:tc>
        <w:tc>
          <w:tcPr>
            <w:tcW w:w="1250" w:type="dxa"/>
            <w:tcBorders>
              <w:top w:val="single" w:sz="4" w:space="0" w:color="auto"/>
              <w:bottom w:val="double" w:sz="4" w:space="0" w:color="auto"/>
            </w:tcBorders>
          </w:tcPr>
          <w:p w:rsidR="007D475F" w:rsidRPr="00BA7C13" w:rsidRDefault="00BE2B85" w:rsidP="00BA7C13">
            <w:pPr>
              <w:pStyle w:val="NoSpacing"/>
              <w:jc w:val="center"/>
              <w:rPr>
                <w:sz w:val="20"/>
                <w:szCs w:val="20"/>
              </w:rPr>
            </w:pPr>
            <w:r w:rsidRPr="00BA7C13">
              <w:rPr>
                <w:color w:val="000000"/>
                <w:sz w:val="20"/>
                <w:szCs w:val="20"/>
              </w:rPr>
              <w:t>$0</w:t>
            </w:r>
          </w:p>
        </w:tc>
        <w:tc>
          <w:tcPr>
            <w:tcW w:w="1241" w:type="dxa"/>
            <w:tcBorders>
              <w:top w:val="single" w:sz="4" w:space="0" w:color="auto"/>
              <w:bottom w:val="double" w:sz="4" w:space="0" w:color="auto"/>
            </w:tcBorders>
          </w:tcPr>
          <w:p w:rsidR="007D475F" w:rsidRPr="00BA7C13" w:rsidRDefault="00F80C34" w:rsidP="00D92378">
            <w:pPr>
              <w:pStyle w:val="NoSpacing"/>
              <w:jc w:val="center"/>
              <w:rPr>
                <w:color w:val="000000"/>
                <w:sz w:val="20"/>
                <w:szCs w:val="20"/>
              </w:rPr>
            </w:pPr>
            <w:r>
              <w:rPr>
                <w:color w:val="000000"/>
                <w:sz w:val="20"/>
                <w:szCs w:val="20"/>
              </w:rPr>
              <w:t>$28,566,524</w:t>
            </w:r>
          </w:p>
        </w:tc>
      </w:tr>
      <w:tr w:rsidR="000743B1" w:rsidRPr="00166F98" w:rsidTr="00BA7C13">
        <w:trPr>
          <w:jc w:val="center"/>
        </w:trPr>
        <w:tc>
          <w:tcPr>
            <w:tcW w:w="1952" w:type="dxa"/>
            <w:tcBorders>
              <w:top w:val="single" w:sz="4" w:space="0" w:color="auto"/>
              <w:bottom w:val="double" w:sz="4" w:space="0" w:color="auto"/>
            </w:tcBorders>
          </w:tcPr>
          <w:p w:rsidR="000743B1" w:rsidRPr="002E0807" w:rsidRDefault="000743B1" w:rsidP="00BA7C13">
            <w:pPr>
              <w:pStyle w:val="NoSpacing"/>
              <w:rPr>
                <w:b/>
                <w:sz w:val="20"/>
                <w:szCs w:val="20"/>
              </w:rPr>
            </w:pPr>
            <w:r w:rsidRPr="002E0807">
              <w:rPr>
                <w:b/>
                <w:sz w:val="20"/>
                <w:szCs w:val="20"/>
              </w:rPr>
              <w:t>TOTAL</w:t>
            </w:r>
          </w:p>
        </w:tc>
        <w:tc>
          <w:tcPr>
            <w:tcW w:w="1440" w:type="dxa"/>
            <w:tcBorders>
              <w:top w:val="single" w:sz="4" w:space="0" w:color="auto"/>
              <w:bottom w:val="double" w:sz="4" w:space="0" w:color="auto"/>
            </w:tcBorders>
          </w:tcPr>
          <w:p w:rsidR="000743B1" w:rsidRPr="002E0807" w:rsidRDefault="002E0807" w:rsidP="00BA7C13">
            <w:pPr>
              <w:pStyle w:val="NoSpacing"/>
              <w:jc w:val="center"/>
              <w:rPr>
                <w:b/>
                <w:color w:val="000000"/>
                <w:sz w:val="20"/>
                <w:szCs w:val="20"/>
              </w:rPr>
            </w:pPr>
            <w:r>
              <w:rPr>
                <w:b/>
                <w:color w:val="000000"/>
                <w:sz w:val="20"/>
                <w:szCs w:val="20"/>
              </w:rPr>
              <w:t>$39,224,524</w:t>
            </w:r>
          </w:p>
        </w:tc>
        <w:tc>
          <w:tcPr>
            <w:tcW w:w="1440" w:type="dxa"/>
            <w:tcBorders>
              <w:top w:val="single" w:sz="4" w:space="0" w:color="auto"/>
              <w:bottom w:val="double" w:sz="4" w:space="0" w:color="auto"/>
            </w:tcBorders>
          </w:tcPr>
          <w:p w:rsidR="000743B1" w:rsidRPr="002E0807" w:rsidRDefault="002E0807" w:rsidP="00BA7C13">
            <w:pPr>
              <w:pStyle w:val="NoSpacing"/>
              <w:jc w:val="center"/>
              <w:rPr>
                <w:b/>
                <w:color w:val="000000"/>
                <w:sz w:val="20"/>
                <w:szCs w:val="20"/>
              </w:rPr>
            </w:pPr>
            <w:r>
              <w:rPr>
                <w:b/>
                <w:color w:val="000000"/>
                <w:sz w:val="20"/>
                <w:szCs w:val="20"/>
              </w:rPr>
              <w:t>$0</w:t>
            </w:r>
          </w:p>
        </w:tc>
        <w:tc>
          <w:tcPr>
            <w:tcW w:w="1406" w:type="dxa"/>
            <w:tcBorders>
              <w:top w:val="single" w:sz="4" w:space="0" w:color="auto"/>
              <w:bottom w:val="double" w:sz="4" w:space="0" w:color="auto"/>
            </w:tcBorders>
          </w:tcPr>
          <w:p w:rsidR="000743B1" w:rsidRPr="002E0807" w:rsidRDefault="002E0807" w:rsidP="00BA7C13">
            <w:pPr>
              <w:pStyle w:val="NoSpacing"/>
              <w:jc w:val="center"/>
              <w:rPr>
                <w:b/>
                <w:color w:val="000000"/>
                <w:sz w:val="20"/>
                <w:szCs w:val="20"/>
              </w:rPr>
            </w:pPr>
            <w:r>
              <w:rPr>
                <w:b/>
                <w:color w:val="000000"/>
                <w:sz w:val="20"/>
                <w:szCs w:val="20"/>
              </w:rPr>
              <w:t>$0</w:t>
            </w:r>
          </w:p>
        </w:tc>
        <w:tc>
          <w:tcPr>
            <w:tcW w:w="1492" w:type="dxa"/>
            <w:tcBorders>
              <w:top w:val="single" w:sz="4" w:space="0" w:color="auto"/>
              <w:bottom w:val="double" w:sz="4" w:space="0" w:color="auto"/>
            </w:tcBorders>
          </w:tcPr>
          <w:p w:rsidR="000743B1" w:rsidRPr="002E0807" w:rsidRDefault="002E0807" w:rsidP="00D92378">
            <w:pPr>
              <w:pStyle w:val="NoSpacing"/>
              <w:jc w:val="center"/>
              <w:rPr>
                <w:b/>
                <w:color w:val="000000"/>
                <w:sz w:val="20"/>
                <w:szCs w:val="20"/>
              </w:rPr>
            </w:pPr>
            <w:r>
              <w:rPr>
                <w:b/>
                <w:color w:val="000000"/>
                <w:sz w:val="20"/>
                <w:szCs w:val="20"/>
              </w:rPr>
              <w:t>$8,605,500</w:t>
            </w:r>
          </w:p>
        </w:tc>
        <w:tc>
          <w:tcPr>
            <w:tcW w:w="1350" w:type="dxa"/>
            <w:tcBorders>
              <w:top w:val="single" w:sz="4" w:space="0" w:color="auto"/>
              <w:bottom w:val="double" w:sz="4" w:space="0" w:color="auto"/>
            </w:tcBorders>
          </w:tcPr>
          <w:p w:rsidR="000743B1" w:rsidRPr="002E0807" w:rsidRDefault="00403A4B" w:rsidP="00BA7C13">
            <w:pPr>
              <w:pStyle w:val="NoSpacing"/>
              <w:jc w:val="center"/>
              <w:rPr>
                <w:b/>
                <w:color w:val="000000"/>
                <w:sz w:val="20"/>
                <w:szCs w:val="20"/>
              </w:rPr>
            </w:pPr>
            <w:r>
              <w:rPr>
                <w:b/>
                <w:color w:val="000000"/>
                <w:sz w:val="20"/>
                <w:szCs w:val="20"/>
              </w:rPr>
              <w:t>$300,000</w:t>
            </w:r>
          </w:p>
        </w:tc>
        <w:tc>
          <w:tcPr>
            <w:tcW w:w="1250" w:type="dxa"/>
            <w:tcBorders>
              <w:top w:val="single" w:sz="4" w:space="0" w:color="auto"/>
              <w:bottom w:val="double" w:sz="4" w:space="0" w:color="auto"/>
            </w:tcBorders>
          </w:tcPr>
          <w:p w:rsidR="000743B1" w:rsidRPr="002E0807" w:rsidRDefault="00403A4B" w:rsidP="00BA7C13">
            <w:pPr>
              <w:pStyle w:val="NoSpacing"/>
              <w:jc w:val="center"/>
              <w:rPr>
                <w:b/>
                <w:color w:val="000000"/>
                <w:sz w:val="20"/>
                <w:szCs w:val="20"/>
              </w:rPr>
            </w:pPr>
            <w:r>
              <w:rPr>
                <w:b/>
                <w:color w:val="000000"/>
                <w:sz w:val="20"/>
                <w:szCs w:val="20"/>
              </w:rPr>
              <w:t>$25,000</w:t>
            </w:r>
          </w:p>
        </w:tc>
        <w:tc>
          <w:tcPr>
            <w:tcW w:w="1241" w:type="dxa"/>
            <w:tcBorders>
              <w:top w:val="single" w:sz="4" w:space="0" w:color="auto"/>
              <w:bottom w:val="double" w:sz="4" w:space="0" w:color="auto"/>
            </w:tcBorders>
          </w:tcPr>
          <w:p w:rsidR="000743B1" w:rsidRPr="002E0807" w:rsidRDefault="000743B1" w:rsidP="00403A4B">
            <w:pPr>
              <w:pStyle w:val="NoSpacing"/>
              <w:jc w:val="center"/>
              <w:rPr>
                <w:b/>
                <w:color w:val="000000"/>
                <w:sz w:val="20"/>
                <w:szCs w:val="20"/>
              </w:rPr>
            </w:pPr>
            <w:r w:rsidRPr="002E0807">
              <w:rPr>
                <w:b/>
                <w:color w:val="000000"/>
                <w:sz w:val="20"/>
                <w:szCs w:val="20"/>
              </w:rPr>
              <w:t>$4</w:t>
            </w:r>
            <w:r w:rsidR="00403A4B">
              <w:rPr>
                <w:b/>
                <w:color w:val="000000"/>
                <w:sz w:val="20"/>
                <w:szCs w:val="20"/>
              </w:rPr>
              <w:t>8</w:t>
            </w:r>
            <w:r w:rsidRPr="002E0807">
              <w:rPr>
                <w:b/>
                <w:color w:val="000000"/>
                <w:sz w:val="20"/>
                <w:szCs w:val="20"/>
              </w:rPr>
              <w:t>,</w:t>
            </w:r>
            <w:r w:rsidR="00403A4B">
              <w:rPr>
                <w:b/>
                <w:color w:val="000000"/>
                <w:sz w:val="20"/>
                <w:szCs w:val="20"/>
              </w:rPr>
              <w:t>155</w:t>
            </w:r>
            <w:r w:rsidRPr="002E0807">
              <w:rPr>
                <w:b/>
                <w:color w:val="000000"/>
                <w:sz w:val="20"/>
                <w:szCs w:val="20"/>
              </w:rPr>
              <w:t>,</w:t>
            </w:r>
            <w:r w:rsidR="00403A4B">
              <w:rPr>
                <w:b/>
                <w:color w:val="000000"/>
                <w:sz w:val="20"/>
                <w:szCs w:val="20"/>
              </w:rPr>
              <w:t>024</w:t>
            </w:r>
          </w:p>
        </w:tc>
      </w:tr>
    </w:tbl>
    <w:p w:rsidR="00C936B8" w:rsidRDefault="00C936B8" w:rsidP="00F80C34">
      <w:pPr>
        <w:pStyle w:val="NoSpacing"/>
        <w:rPr>
          <w:sz w:val="21"/>
          <w:szCs w:val="21"/>
        </w:rPr>
      </w:pPr>
      <w:bookmarkStart w:id="1" w:name="_Toc293676022"/>
      <w:bookmarkEnd w:id="1"/>
    </w:p>
    <w:p w:rsidR="00F80C34" w:rsidRPr="00F80C34" w:rsidRDefault="00F80C34" w:rsidP="00F80C34">
      <w:pPr>
        <w:pStyle w:val="NoSpacing"/>
        <w:rPr>
          <w:b/>
          <w:sz w:val="21"/>
          <w:szCs w:val="21"/>
        </w:rPr>
      </w:pPr>
      <w:r w:rsidRPr="00F80C34">
        <w:rPr>
          <w:b/>
          <w:sz w:val="21"/>
          <w:szCs w:val="21"/>
        </w:rPr>
        <w:t>*Inflation included in estimated costs</w:t>
      </w:r>
    </w:p>
    <w:p w:rsidR="00C936B8" w:rsidRPr="00166F98" w:rsidRDefault="00C936B8" w:rsidP="00BA7C13">
      <w:pPr>
        <w:pStyle w:val="NoSpacing"/>
        <w:rPr>
          <w:sz w:val="21"/>
          <w:szCs w:val="21"/>
        </w:rPr>
      </w:pPr>
    </w:p>
    <w:sectPr w:rsidR="00C936B8" w:rsidRPr="00166F98" w:rsidSect="00F74A83">
      <w:headerReference w:type="default" r:id="rId9"/>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2E3" w:rsidRDefault="002712E3" w:rsidP="00803F7F">
      <w:pPr>
        <w:spacing w:after="0" w:line="240" w:lineRule="auto"/>
      </w:pPr>
      <w:r>
        <w:separator/>
      </w:r>
    </w:p>
  </w:endnote>
  <w:endnote w:type="continuationSeparator" w:id="0">
    <w:p w:rsidR="002712E3" w:rsidRDefault="002712E3" w:rsidP="0080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2E3" w:rsidRDefault="002712E3" w:rsidP="00803F7F">
      <w:pPr>
        <w:spacing w:after="0" w:line="240" w:lineRule="auto"/>
      </w:pPr>
      <w:r>
        <w:separator/>
      </w:r>
    </w:p>
  </w:footnote>
  <w:footnote w:type="continuationSeparator" w:id="0">
    <w:p w:rsidR="002712E3" w:rsidRDefault="002712E3" w:rsidP="00803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984" w:rsidRDefault="00336984" w:rsidP="00576E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E518E"/>
    <w:multiLevelType w:val="hybridMultilevel"/>
    <w:tmpl w:val="78049DD0"/>
    <w:lvl w:ilvl="0" w:tplc="DDBE58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EB4128"/>
    <w:multiLevelType w:val="hybridMultilevel"/>
    <w:tmpl w:val="599E9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55C10"/>
    <w:multiLevelType w:val="hybridMultilevel"/>
    <w:tmpl w:val="21CA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44469"/>
    <w:multiLevelType w:val="hybridMultilevel"/>
    <w:tmpl w:val="26061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27E3C"/>
    <w:multiLevelType w:val="hybridMultilevel"/>
    <w:tmpl w:val="1946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7F"/>
    <w:rsid w:val="00012431"/>
    <w:rsid w:val="000151F7"/>
    <w:rsid w:val="00025B44"/>
    <w:rsid w:val="00062F2F"/>
    <w:rsid w:val="000743B1"/>
    <w:rsid w:val="000758D8"/>
    <w:rsid w:val="00087B97"/>
    <w:rsid w:val="000E5B44"/>
    <w:rsid w:val="000F31C6"/>
    <w:rsid w:val="0014227C"/>
    <w:rsid w:val="00153D78"/>
    <w:rsid w:val="00166F98"/>
    <w:rsid w:val="00170E87"/>
    <w:rsid w:val="001862EC"/>
    <w:rsid w:val="00192C61"/>
    <w:rsid w:val="001B0D2F"/>
    <w:rsid w:val="001E7321"/>
    <w:rsid w:val="001F23E9"/>
    <w:rsid w:val="00200675"/>
    <w:rsid w:val="00230A8E"/>
    <w:rsid w:val="002712E3"/>
    <w:rsid w:val="002D7BA0"/>
    <w:rsid w:val="002E0807"/>
    <w:rsid w:val="002F3417"/>
    <w:rsid w:val="003107AE"/>
    <w:rsid w:val="00336984"/>
    <w:rsid w:val="00366A60"/>
    <w:rsid w:val="0036711A"/>
    <w:rsid w:val="003F3D02"/>
    <w:rsid w:val="003F6004"/>
    <w:rsid w:val="00403A4B"/>
    <w:rsid w:val="00415C7A"/>
    <w:rsid w:val="004322AF"/>
    <w:rsid w:val="00435DD8"/>
    <w:rsid w:val="004410E2"/>
    <w:rsid w:val="00453229"/>
    <w:rsid w:val="00492DBC"/>
    <w:rsid w:val="00495AF5"/>
    <w:rsid w:val="004A4D3E"/>
    <w:rsid w:val="004F07B3"/>
    <w:rsid w:val="004F69E8"/>
    <w:rsid w:val="004F6E08"/>
    <w:rsid w:val="004F78CB"/>
    <w:rsid w:val="00510C94"/>
    <w:rsid w:val="00556965"/>
    <w:rsid w:val="00572C09"/>
    <w:rsid w:val="00574275"/>
    <w:rsid w:val="00576E8E"/>
    <w:rsid w:val="005835CF"/>
    <w:rsid w:val="005871E8"/>
    <w:rsid w:val="00595A88"/>
    <w:rsid w:val="005C27E4"/>
    <w:rsid w:val="005C51B9"/>
    <w:rsid w:val="005D47F3"/>
    <w:rsid w:val="00623561"/>
    <w:rsid w:val="00631144"/>
    <w:rsid w:val="006426E2"/>
    <w:rsid w:val="0065767B"/>
    <w:rsid w:val="00681038"/>
    <w:rsid w:val="00694FC5"/>
    <w:rsid w:val="0069675C"/>
    <w:rsid w:val="00696DFA"/>
    <w:rsid w:val="006B4454"/>
    <w:rsid w:val="006C0CC8"/>
    <w:rsid w:val="00717263"/>
    <w:rsid w:val="0073162B"/>
    <w:rsid w:val="00745F21"/>
    <w:rsid w:val="007A5FD3"/>
    <w:rsid w:val="007C5C69"/>
    <w:rsid w:val="007D475F"/>
    <w:rsid w:val="007E0F29"/>
    <w:rsid w:val="007E3EA0"/>
    <w:rsid w:val="00803F7F"/>
    <w:rsid w:val="00824B3A"/>
    <w:rsid w:val="00834BC1"/>
    <w:rsid w:val="00844D2A"/>
    <w:rsid w:val="00851007"/>
    <w:rsid w:val="00852910"/>
    <w:rsid w:val="00852F4A"/>
    <w:rsid w:val="00886FE4"/>
    <w:rsid w:val="008B6C89"/>
    <w:rsid w:val="008C2DD3"/>
    <w:rsid w:val="008C46CF"/>
    <w:rsid w:val="008D3DCE"/>
    <w:rsid w:val="008F5F70"/>
    <w:rsid w:val="00901BEC"/>
    <w:rsid w:val="00910B8C"/>
    <w:rsid w:val="00912975"/>
    <w:rsid w:val="00954695"/>
    <w:rsid w:val="009613A6"/>
    <w:rsid w:val="00963A3E"/>
    <w:rsid w:val="009F4648"/>
    <w:rsid w:val="00A02567"/>
    <w:rsid w:val="00A109CF"/>
    <w:rsid w:val="00A5264D"/>
    <w:rsid w:val="00A842D9"/>
    <w:rsid w:val="00AC4E16"/>
    <w:rsid w:val="00B4315F"/>
    <w:rsid w:val="00B6678B"/>
    <w:rsid w:val="00B66EA8"/>
    <w:rsid w:val="00B720D3"/>
    <w:rsid w:val="00B856CF"/>
    <w:rsid w:val="00BA7C13"/>
    <w:rsid w:val="00BB3477"/>
    <w:rsid w:val="00BB4733"/>
    <w:rsid w:val="00BD202B"/>
    <w:rsid w:val="00BD2044"/>
    <w:rsid w:val="00BE2B85"/>
    <w:rsid w:val="00C04BC1"/>
    <w:rsid w:val="00C142B3"/>
    <w:rsid w:val="00C24707"/>
    <w:rsid w:val="00C258C5"/>
    <w:rsid w:val="00C37AD3"/>
    <w:rsid w:val="00C444C9"/>
    <w:rsid w:val="00C667AF"/>
    <w:rsid w:val="00C936B8"/>
    <w:rsid w:val="00C94BFC"/>
    <w:rsid w:val="00CB3F2A"/>
    <w:rsid w:val="00D17B2E"/>
    <w:rsid w:val="00D27030"/>
    <w:rsid w:val="00D63F1D"/>
    <w:rsid w:val="00D71362"/>
    <w:rsid w:val="00D92378"/>
    <w:rsid w:val="00D956E6"/>
    <w:rsid w:val="00DB1DC3"/>
    <w:rsid w:val="00DD513B"/>
    <w:rsid w:val="00E25C86"/>
    <w:rsid w:val="00E3080C"/>
    <w:rsid w:val="00E317D8"/>
    <w:rsid w:val="00E32EB0"/>
    <w:rsid w:val="00E6670C"/>
    <w:rsid w:val="00E709F2"/>
    <w:rsid w:val="00E820DC"/>
    <w:rsid w:val="00E857CE"/>
    <w:rsid w:val="00EA3D77"/>
    <w:rsid w:val="00EA4332"/>
    <w:rsid w:val="00EB47FC"/>
    <w:rsid w:val="00ED6623"/>
    <w:rsid w:val="00EE3267"/>
    <w:rsid w:val="00F144DB"/>
    <w:rsid w:val="00F32523"/>
    <w:rsid w:val="00F3289A"/>
    <w:rsid w:val="00F53027"/>
    <w:rsid w:val="00F74A83"/>
    <w:rsid w:val="00F80C34"/>
    <w:rsid w:val="00F95341"/>
    <w:rsid w:val="00FA1C04"/>
    <w:rsid w:val="00FB7F3C"/>
    <w:rsid w:val="00FD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81696AEE-7E1A-43D2-A0E1-8E966D28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03F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F7F"/>
    <w:rPr>
      <w:rFonts w:ascii="Tahoma" w:hAnsi="Tahoma" w:cs="Tahoma"/>
      <w:sz w:val="16"/>
      <w:szCs w:val="16"/>
    </w:rPr>
  </w:style>
  <w:style w:type="paragraph" w:styleId="Header">
    <w:name w:val="header"/>
    <w:basedOn w:val="Normal"/>
    <w:link w:val="HeaderChar"/>
    <w:uiPriority w:val="99"/>
    <w:unhideWhenUsed/>
    <w:rsid w:val="00803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F7F"/>
  </w:style>
  <w:style w:type="paragraph" w:styleId="Footer">
    <w:name w:val="footer"/>
    <w:basedOn w:val="Normal"/>
    <w:link w:val="FooterChar"/>
    <w:uiPriority w:val="99"/>
    <w:unhideWhenUsed/>
    <w:rsid w:val="00803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F7F"/>
  </w:style>
  <w:style w:type="character" w:customStyle="1" w:styleId="Heading1Char">
    <w:name w:val="Heading 1 Char"/>
    <w:basedOn w:val="DefaultParagraphFont"/>
    <w:link w:val="Heading1"/>
    <w:rsid w:val="00803F7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5569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71362"/>
    <w:pPr>
      <w:ind w:left="720"/>
      <w:contextualSpacing/>
    </w:pPr>
  </w:style>
  <w:style w:type="paragraph" w:customStyle="1" w:styleId="TableCaption">
    <w:name w:val="Table Caption"/>
    <w:basedOn w:val="Caption"/>
    <w:link w:val="TableCaptionChar"/>
    <w:qFormat/>
    <w:rsid w:val="008C2DD3"/>
    <w:pPr>
      <w:widowControl w:val="0"/>
      <w:spacing w:before="120" w:after="120"/>
      <w:jc w:val="center"/>
    </w:pPr>
    <w:rPr>
      <w:rFonts w:ascii="Times New Roman" w:eastAsia="Times New Roman" w:hAnsi="Times New Roman" w:cs="Times New Roman"/>
      <w:color w:val="auto"/>
      <w:sz w:val="24"/>
      <w:szCs w:val="20"/>
    </w:rPr>
  </w:style>
  <w:style w:type="character" w:customStyle="1" w:styleId="TableCaptionChar">
    <w:name w:val="Table Caption Char"/>
    <w:basedOn w:val="DefaultParagraphFont"/>
    <w:link w:val="TableCaption"/>
    <w:rsid w:val="008C2DD3"/>
    <w:rPr>
      <w:rFonts w:ascii="Times New Roman" w:eastAsia="Times New Roman" w:hAnsi="Times New Roman" w:cs="Times New Roman"/>
      <w:b/>
      <w:bCs/>
      <w:sz w:val="24"/>
      <w:szCs w:val="20"/>
    </w:rPr>
  </w:style>
  <w:style w:type="paragraph" w:customStyle="1" w:styleId="Default">
    <w:name w:val="Default"/>
    <w:rsid w:val="008C2DD3"/>
    <w:pPr>
      <w:autoSpaceDE w:val="0"/>
      <w:autoSpaceDN w:val="0"/>
      <w:adjustRightInd w:val="0"/>
      <w:spacing w:after="0" w:line="240" w:lineRule="auto"/>
    </w:pPr>
    <w:rPr>
      <w:rFonts w:ascii="Arial" w:eastAsia="Times New Roman" w:hAnsi="Arial" w:cs="Arial"/>
      <w:color w:val="000000"/>
      <w:sz w:val="24"/>
      <w:szCs w:val="24"/>
    </w:rPr>
  </w:style>
  <w:style w:type="paragraph" w:styleId="Caption">
    <w:name w:val="caption"/>
    <w:basedOn w:val="Normal"/>
    <w:next w:val="Normal"/>
    <w:uiPriority w:val="35"/>
    <w:semiHidden/>
    <w:unhideWhenUsed/>
    <w:qFormat/>
    <w:rsid w:val="008C2DD3"/>
    <w:pPr>
      <w:spacing w:line="240" w:lineRule="auto"/>
    </w:pPr>
    <w:rPr>
      <w:b/>
      <w:bCs/>
      <w:color w:val="4F81BD" w:themeColor="accent1"/>
      <w:sz w:val="18"/>
      <w:szCs w:val="18"/>
    </w:rPr>
  </w:style>
  <w:style w:type="paragraph" w:styleId="NoSpacing">
    <w:name w:val="No Spacing"/>
    <w:uiPriority w:val="1"/>
    <w:qFormat/>
    <w:rsid w:val="008C2DD3"/>
    <w:pPr>
      <w:spacing w:after="0" w:line="240" w:lineRule="auto"/>
    </w:pPr>
  </w:style>
  <w:style w:type="character" w:styleId="CommentReference">
    <w:name w:val="annotation reference"/>
    <w:basedOn w:val="DefaultParagraphFont"/>
    <w:uiPriority w:val="99"/>
    <w:semiHidden/>
    <w:unhideWhenUsed/>
    <w:rsid w:val="00166F98"/>
    <w:rPr>
      <w:sz w:val="16"/>
      <w:szCs w:val="16"/>
    </w:rPr>
  </w:style>
  <w:style w:type="paragraph" w:styleId="CommentText">
    <w:name w:val="annotation text"/>
    <w:basedOn w:val="Normal"/>
    <w:link w:val="CommentTextChar"/>
    <w:uiPriority w:val="99"/>
    <w:semiHidden/>
    <w:unhideWhenUsed/>
    <w:rsid w:val="00166F98"/>
    <w:pPr>
      <w:spacing w:line="240" w:lineRule="auto"/>
    </w:pPr>
    <w:rPr>
      <w:sz w:val="20"/>
      <w:szCs w:val="20"/>
    </w:rPr>
  </w:style>
  <w:style w:type="character" w:customStyle="1" w:styleId="CommentTextChar">
    <w:name w:val="Comment Text Char"/>
    <w:basedOn w:val="DefaultParagraphFont"/>
    <w:link w:val="CommentText"/>
    <w:uiPriority w:val="99"/>
    <w:semiHidden/>
    <w:rsid w:val="00166F98"/>
    <w:rPr>
      <w:sz w:val="20"/>
      <w:szCs w:val="20"/>
    </w:rPr>
  </w:style>
  <w:style w:type="paragraph" w:styleId="CommentSubject">
    <w:name w:val="annotation subject"/>
    <w:basedOn w:val="CommentText"/>
    <w:next w:val="CommentText"/>
    <w:link w:val="CommentSubjectChar"/>
    <w:uiPriority w:val="99"/>
    <w:semiHidden/>
    <w:unhideWhenUsed/>
    <w:rsid w:val="00166F98"/>
    <w:rPr>
      <w:b/>
      <w:bCs/>
    </w:rPr>
  </w:style>
  <w:style w:type="character" w:customStyle="1" w:styleId="CommentSubjectChar">
    <w:name w:val="Comment Subject Char"/>
    <w:basedOn w:val="CommentTextChar"/>
    <w:link w:val="CommentSubject"/>
    <w:uiPriority w:val="99"/>
    <w:semiHidden/>
    <w:rsid w:val="00166F98"/>
    <w:rPr>
      <w:b/>
      <w:bCs/>
      <w:sz w:val="20"/>
      <w:szCs w:val="20"/>
    </w:rPr>
  </w:style>
  <w:style w:type="paragraph" w:styleId="PlainText">
    <w:name w:val="Plain Text"/>
    <w:basedOn w:val="Normal"/>
    <w:link w:val="PlainTextChar"/>
    <w:uiPriority w:val="99"/>
    <w:unhideWhenUsed/>
    <w:rsid w:val="000F31C6"/>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0F31C6"/>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668344">
      <w:bodyDiv w:val="1"/>
      <w:marLeft w:val="0"/>
      <w:marRight w:val="0"/>
      <w:marTop w:val="0"/>
      <w:marBottom w:val="0"/>
      <w:divBdr>
        <w:top w:val="none" w:sz="0" w:space="0" w:color="auto"/>
        <w:left w:val="none" w:sz="0" w:space="0" w:color="auto"/>
        <w:bottom w:val="none" w:sz="0" w:space="0" w:color="auto"/>
        <w:right w:val="none" w:sz="0" w:space="0" w:color="auto"/>
      </w:divBdr>
    </w:div>
    <w:div w:id="13628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D6D5C-4A84-48EB-9F31-34F1DCEA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PBS&amp;J</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10712</dc:creator>
  <cp:lastModifiedBy>Ponder, B. Patricia</cp:lastModifiedBy>
  <cp:revision>2</cp:revision>
  <cp:lastPrinted>2015-05-11T16:16:00Z</cp:lastPrinted>
  <dcterms:created xsi:type="dcterms:W3CDTF">2016-05-05T14:21:00Z</dcterms:created>
  <dcterms:modified xsi:type="dcterms:W3CDTF">2016-05-05T14:21:00Z</dcterms:modified>
</cp:coreProperties>
</file>